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政协机关</w:t>
      </w:r>
      <w:r>
        <w:rPr>
          <w:rFonts w:hint="eastAsia" w:ascii="方正小标宋简体" w:hAnsi="方正小标宋简体" w:eastAsia="方正小标宋简体" w:cs="方正小标宋简体"/>
          <w:sz w:val="44"/>
          <w:szCs w:val="44"/>
          <w:lang w:val="en-US" w:eastAsia="zh-CN"/>
        </w:rPr>
        <w:t>2022年度</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部门整体绩效评价报告</w:t>
      </w:r>
    </w:p>
    <w:p>
      <w:pPr>
        <w:jc w:val="center"/>
        <w:rPr>
          <w:rFonts w:ascii="仿宋_GB2312"/>
          <w:szCs w:val="30"/>
        </w:rPr>
      </w:pPr>
    </w:p>
    <w:p>
      <w:pPr>
        <w:ind w:firstLine="640" w:firstLineChars="200"/>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ind w:firstLine="640" w:firstLineChars="200"/>
        <w:outlineLvl w:val="1"/>
        <w:rPr>
          <w:rFonts w:ascii="仿宋_GB2312" w:hAnsi="宋体" w:eastAsia="仿宋_GB2312" w:cs="宋体"/>
          <w:color w:val="000000"/>
          <w:kern w:val="0"/>
          <w:sz w:val="32"/>
          <w:szCs w:val="32"/>
        </w:rPr>
      </w:pPr>
      <w:r>
        <w:rPr>
          <w:rFonts w:hint="eastAsia" w:ascii="楷体_GB2312" w:eastAsia="楷体_GB2312"/>
          <w:sz w:val="32"/>
          <w:szCs w:val="32"/>
        </w:rPr>
        <w:t>（一）机构设置及职责工作任务情况</w:t>
      </w:r>
    </w:p>
    <w:p>
      <w:pPr>
        <w:ind w:firstLine="640" w:firstLineChars="200"/>
        <w:rPr>
          <w:rFonts w:ascii="仿宋_GB2312" w:eastAsia="仿宋_GB2312"/>
          <w:sz w:val="32"/>
          <w:szCs w:val="32"/>
        </w:rPr>
      </w:pPr>
      <w:r>
        <w:rPr>
          <w:rFonts w:hint="eastAsia" w:ascii="仿宋_GB2312" w:eastAsia="仿宋_GB2312"/>
          <w:sz w:val="32"/>
          <w:szCs w:val="32"/>
          <w:lang w:eastAsia="zh-CN"/>
        </w:rPr>
        <w:t>北京市政协机关</w:t>
      </w:r>
      <w:r>
        <w:rPr>
          <w:rFonts w:hint="eastAsia" w:ascii="仿宋_GB2312" w:eastAsia="仿宋_GB2312"/>
          <w:sz w:val="32"/>
          <w:szCs w:val="32"/>
        </w:rPr>
        <w:t>包含提案委、学习委、经济委、农业和农村委、科技委、人口资源环境和建设委、教卫体</w:t>
      </w:r>
      <w:r>
        <w:rPr>
          <w:rFonts w:hint="eastAsia" w:ascii="仿宋_GB2312" w:eastAsia="仿宋_GB2312"/>
          <w:sz w:val="32"/>
          <w:szCs w:val="32"/>
          <w:lang w:eastAsia="zh-CN"/>
        </w:rPr>
        <w:t>和文化文史</w:t>
      </w:r>
      <w:r>
        <w:rPr>
          <w:rFonts w:hint="eastAsia" w:ascii="仿宋_GB2312" w:eastAsia="仿宋_GB2312"/>
          <w:sz w:val="32"/>
          <w:szCs w:val="32"/>
        </w:rPr>
        <w:t>委、社会和法制委、民族和宗教委、</w:t>
      </w:r>
      <w:r>
        <w:rPr>
          <w:rFonts w:hint="eastAsia" w:ascii="仿宋_GB2312" w:eastAsia="仿宋_GB2312"/>
          <w:sz w:val="32"/>
          <w:szCs w:val="32"/>
          <w:lang w:val="en"/>
        </w:rPr>
        <w:t>港澳台侨和外事委</w:t>
      </w:r>
      <w:r>
        <w:rPr>
          <w:rFonts w:hint="eastAsia" w:ascii="仿宋_GB2312" w:eastAsia="仿宋_GB2312"/>
          <w:sz w:val="32"/>
          <w:szCs w:val="32"/>
        </w:rPr>
        <w:t>10个专门委员会，办公厅、研究室、人事联络室、机关党委(工会)以及市纪委市监委驻市政协机关纪检监察组，共15个部门。部门预算由北京市政协机关本级行政和本级事业组成。</w:t>
      </w:r>
    </w:p>
    <w:p>
      <w:pPr>
        <w:ind w:firstLine="640" w:firstLineChars="200"/>
        <w:rPr>
          <w:rFonts w:hint="eastAsia"/>
          <w:lang w:val="en-US" w:eastAsia="zh-CN"/>
        </w:rPr>
      </w:pPr>
      <w:r>
        <w:rPr>
          <w:rFonts w:hint="eastAsia" w:ascii="仿宋_GB2312" w:eastAsia="仿宋_GB2312"/>
          <w:sz w:val="32"/>
          <w:szCs w:val="32"/>
        </w:rPr>
        <w:t>承担为市政协履行政治协商、民主监督、参政议政等职能的统筹协调和服务保障</w:t>
      </w:r>
      <w:r>
        <w:rPr>
          <w:rFonts w:hint="eastAsia" w:ascii="仿宋_GB2312" w:eastAsia="仿宋_GB2312"/>
          <w:sz w:val="32"/>
          <w:szCs w:val="32"/>
          <w:lang w:eastAsia="zh-CN"/>
        </w:rPr>
        <w:t>等日常工作</w:t>
      </w:r>
      <w:r>
        <w:rPr>
          <w:rFonts w:hint="eastAsia" w:ascii="仿宋_GB2312" w:eastAsia="仿宋_GB2312"/>
          <w:sz w:val="32"/>
          <w:szCs w:val="32"/>
        </w:rPr>
        <w:t>任务。</w:t>
      </w:r>
    </w:p>
    <w:p>
      <w:pPr>
        <w:ind w:firstLine="640" w:firstLineChars="200"/>
        <w:outlineLvl w:val="1"/>
        <w:rPr>
          <w:rFonts w:hint="eastAsia" w:ascii="仿宋_GB2312" w:hAnsi="仿宋_GB2312" w:eastAsia="仿宋_GB2312" w:cs="仿宋_GB2312"/>
          <w:color w:val="000000"/>
          <w:sz w:val="32"/>
          <w:lang w:val="en-US" w:eastAsia="zh-CN"/>
        </w:rPr>
      </w:pPr>
      <w:r>
        <w:rPr>
          <w:rFonts w:hint="eastAsia" w:ascii="楷体_GB2312" w:eastAsia="楷体_GB2312"/>
          <w:sz w:val="32"/>
          <w:szCs w:val="32"/>
          <w:highlight w:val="none"/>
        </w:rPr>
        <w:t>（二）部门整体绩效目标设立情况</w:t>
      </w:r>
    </w:p>
    <w:p>
      <w:pPr>
        <w:spacing w:line="560" w:lineRule="exact"/>
        <w:ind w:firstLine="640" w:firstLineChars="200"/>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按照</w:t>
      </w:r>
      <w:r>
        <w:rPr>
          <w:rFonts w:hint="eastAsia" w:ascii="仿宋_GB2312" w:hAnsi="仿宋_GB2312" w:eastAsia="仿宋_GB2312" w:cs="仿宋_GB2312"/>
          <w:color w:val="000000" w:themeColor="text1"/>
          <w:sz w:val="32"/>
          <w:lang w:val="en-US" w:eastAsia="zh-CN"/>
          <w14:textFill>
            <w14:solidFill>
              <w14:schemeClr w14:val="tx1"/>
            </w14:solidFill>
          </w14:textFill>
        </w:rPr>
        <w:t>2022年市级部门预算编报要求，在设立北京市政协机关部门整体绩效目标时，</w:t>
      </w:r>
      <w:r>
        <w:rPr>
          <w:rFonts w:hint="eastAsia" w:ascii="仿宋_GB2312" w:hAnsi="仿宋_GB2312" w:eastAsia="仿宋_GB2312" w:cs="仿宋_GB2312"/>
          <w:color w:val="000000" w:themeColor="text1"/>
          <w:sz w:val="32"/>
          <w:lang w:eastAsia="zh-CN"/>
          <w14:textFill>
            <w14:solidFill>
              <w14:schemeClr w14:val="tx1"/>
            </w14:solidFill>
          </w14:textFill>
        </w:rPr>
        <w:t>依据政协章程规定，坚持中国共产党领导，坚持人民政协性质定位，坚持大团结大联合，坚持发扬社会主义民主的工作原则，充分发挥委员履职主体作用，</w:t>
      </w:r>
      <w:r>
        <w:rPr>
          <w:rFonts w:hint="eastAsia" w:ascii="仿宋_GB2312" w:hAnsi="仿宋_GB2312" w:eastAsia="仿宋_GB2312" w:cs="仿宋_GB2312"/>
          <w:color w:val="000000" w:themeColor="text1"/>
          <w:sz w:val="32"/>
          <w14:textFill>
            <w14:solidFill>
              <w14:schemeClr w14:val="tx1"/>
            </w14:solidFill>
          </w14:textFill>
        </w:rPr>
        <w:t>结合</w:t>
      </w:r>
      <w:r>
        <w:rPr>
          <w:rFonts w:hint="eastAsia" w:ascii="仿宋_GB2312" w:hAnsi="仿宋_GB2312" w:eastAsia="仿宋_GB2312" w:cs="仿宋_GB2312"/>
          <w:color w:val="000000" w:themeColor="text1"/>
          <w:sz w:val="32"/>
          <w:lang w:val="en-US" w:eastAsia="zh-CN"/>
          <w14:textFill>
            <w14:solidFill>
              <w14:schemeClr w14:val="tx1"/>
            </w14:solidFill>
          </w14:textFill>
        </w:rPr>
        <w:t>年度重要会议活动安排和协商</w:t>
      </w:r>
      <w:r>
        <w:rPr>
          <w:rFonts w:hint="eastAsia" w:ascii="仿宋_GB2312" w:hAnsi="仿宋_GB2312" w:eastAsia="仿宋_GB2312" w:cs="仿宋_GB2312"/>
          <w:color w:val="000000" w:themeColor="text1"/>
          <w:sz w:val="32"/>
          <w14:textFill>
            <w14:solidFill>
              <w14:schemeClr w14:val="tx1"/>
            </w14:solidFill>
          </w14:textFill>
        </w:rPr>
        <w:t>工作计划</w:t>
      </w:r>
      <w:r>
        <w:rPr>
          <w:rFonts w:hint="eastAsia" w:ascii="仿宋_GB2312" w:hAnsi="仿宋_GB2312" w:eastAsia="仿宋_GB2312" w:cs="仿宋_GB2312"/>
          <w:color w:val="000000" w:themeColor="text1"/>
          <w:sz w:val="32"/>
          <w:lang w:eastAsia="zh-CN"/>
          <w14:textFill>
            <w14:solidFill>
              <w14:schemeClr w14:val="tx1"/>
            </w14:solidFill>
          </w14:textFill>
        </w:rPr>
        <w:t>，参照历年部门整体绩效目标设置情况，编报了</w:t>
      </w:r>
      <w:r>
        <w:rPr>
          <w:rFonts w:hint="eastAsia" w:ascii="仿宋_GB2312" w:hAnsi="仿宋_GB2312" w:eastAsia="仿宋_GB2312" w:cs="仿宋_GB2312"/>
          <w:color w:val="000000" w:themeColor="text1"/>
          <w:sz w:val="32"/>
          <w:lang w:val="en-US" w:eastAsia="zh-CN"/>
          <w14:textFill>
            <w14:solidFill>
              <w14:schemeClr w14:val="tx1"/>
            </w14:solidFill>
          </w14:textFill>
        </w:rPr>
        <w:t>2022年度部门整体绩效目标。</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2022年整体绩效目标：</w:t>
      </w:r>
      <w:r>
        <w:rPr>
          <w:rFonts w:hint="eastAsia" w:ascii="仿宋_GB2312" w:hAnsi="仿宋_GB2312" w:eastAsia="仿宋_GB2312" w:cs="仿宋_GB2312"/>
          <w:color w:val="000000"/>
          <w:sz w:val="32"/>
        </w:rPr>
        <w:t>在中共北京市委的坚强领导下团结各界委员，坚持以习近平新时代中国特色社会主义思想为指导，认真贯彻中央政协工作会议和习近平总书记对北京重要讲话精神，增强“四个意识”、坚定“四个自信”、做到“两个维护”</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紧紧围绕加强“四个中心”功能建设、提高“四个服务”水平，</w:t>
      </w:r>
      <w:r>
        <w:rPr>
          <w:rFonts w:hint="eastAsia" w:ascii="仿宋_GB2312" w:hAnsi="仿宋_GB2312" w:eastAsia="仿宋_GB2312" w:cs="仿宋_GB2312"/>
          <w:color w:val="000000"/>
          <w:sz w:val="32"/>
          <w:lang w:eastAsia="zh-CN"/>
        </w:rPr>
        <w:t>综合运用各种形式，集协商、监督、参与、合作与一体，充分发挥政协协商、民主监督、参政议政职能，</w:t>
      </w:r>
      <w:r>
        <w:rPr>
          <w:rFonts w:hint="eastAsia" w:ascii="仿宋_GB2312" w:hAnsi="仿宋_GB2312" w:eastAsia="仿宋_GB2312" w:cs="仿宋_GB2312"/>
          <w:color w:val="000000"/>
          <w:sz w:val="32"/>
        </w:rPr>
        <w:t>切实担负起新时代人民政协的政治责任。</w:t>
      </w:r>
    </w:p>
    <w:p>
      <w:pPr>
        <w:ind w:firstLine="640" w:firstLineChars="200"/>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一是聚焦学习贯彻中共二十大精神强化思想政治引领，抓好多种形式的委员学习，打造政协读书品牌；二是聚焦首都高质量发展，充分发挥专门协商机构作用，组织召开好每年的政协全会、常委会、主席会、议政会、专题协商会、重点提案办理协商会、立法协商等各类会议以及视察调研活动；三是聚焦发挥统一战线组织功能，组织形式多样的团结联谊活动；四是聚焦提升专门协商机构的服务保障能力，做好综合服务及信息化支撑保障。</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从总体落实情况看，目标设置合理，符合政协各项职能。</w:t>
      </w:r>
    </w:p>
    <w:p>
      <w:pPr>
        <w:ind w:firstLine="640" w:firstLineChars="200"/>
        <w:outlineLvl w:val="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二</w:t>
      </w:r>
      <w:r>
        <w:rPr>
          <w:rFonts w:ascii="黑体" w:hAnsi="黑体" w:eastAsia="黑体" w:cs="宋体"/>
          <w:color w:val="000000"/>
          <w:kern w:val="0"/>
          <w:sz w:val="32"/>
          <w:szCs w:val="32"/>
          <w:highlight w:val="none"/>
        </w:rPr>
        <w:t>、</w:t>
      </w:r>
      <w:r>
        <w:rPr>
          <w:rFonts w:hint="eastAsia" w:ascii="黑体" w:hAnsi="黑体" w:eastAsia="黑体" w:cs="宋体"/>
          <w:color w:val="000000"/>
          <w:kern w:val="0"/>
          <w:sz w:val="32"/>
          <w:szCs w:val="32"/>
          <w:highlight w:val="none"/>
        </w:rPr>
        <w:t>当年</w:t>
      </w:r>
      <w:r>
        <w:rPr>
          <w:rFonts w:ascii="黑体" w:hAnsi="黑体" w:eastAsia="黑体" w:cs="宋体"/>
          <w:color w:val="000000"/>
          <w:kern w:val="0"/>
          <w:sz w:val="32"/>
          <w:szCs w:val="32"/>
          <w:highlight w:val="none"/>
        </w:rPr>
        <w:t>预算执行情况</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2022</w:t>
      </w:r>
      <w:r>
        <w:rPr>
          <w:rFonts w:hint="eastAsia" w:ascii="仿宋_GB2312" w:hAnsi="仿宋_GB2312" w:eastAsia="仿宋_GB2312" w:cs="仿宋_GB2312"/>
          <w:color w:val="000000"/>
          <w:sz w:val="32"/>
        </w:rPr>
        <w:t>年全年预算</w:t>
      </w:r>
      <w:r>
        <w:rPr>
          <w:rFonts w:hint="eastAsia" w:ascii="仿宋_GB2312" w:hAnsi="仿宋_GB2312" w:eastAsia="仿宋_GB2312" w:cs="仿宋_GB2312"/>
          <w:color w:val="000000"/>
          <w:sz w:val="32"/>
          <w:lang w:val="en-US" w:eastAsia="zh-CN"/>
        </w:rPr>
        <w:t>数</w:t>
      </w:r>
      <w:r>
        <w:rPr>
          <w:rFonts w:hint="eastAsia" w:ascii="仿宋_GB2312" w:hAnsi="仿宋_GB2312" w:eastAsia="仿宋_GB2312" w:cs="仿宋_GB2312"/>
          <w:color w:val="000000"/>
          <w:sz w:val="32"/>
        </w:rPr>
        <w:t>15,747.39万元，其中</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基本支出预算</w:t>
      </w:r>
      <w:r>
        <w:rPr>
          <w:rFonts w:hint="eastAsia" w:ascii="仿宋_GB2312" w:hAnsi="仿宋_GB2312" w:eastAsia="仿宋_GB2312" w:cs="仿宋_GB2312"/>
          <w:color w:val="000000"/>
          <w:sz w:val="32"/>
          <w:lang w:val="en-US" w:eastAsia="zh-CN"/>
        </w:rPr>
        <w:t>10</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615.26</w:t>
      </w:r>
      <w:r>
        <w:rPr>
          <w:rFonts w:hint="eastAsia" w:ascii="仿宋_GB2312" w:hAnsi="仿宋_GB2312" w:eastAsia="仿宋_GB2312" w:cs="仿宋_GB2312"/>
          <w:color w:val="000000"/>
          <w:sz w:val="32"/>
        </w:rPr>
        <w:t>万元，项目支出预算</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132.13</w:t>
      </w:r>
      <w:r>
        <w:rPr>
          <w:rFonts w:hint="eastAsia" w:ascii="仿宋_GB2312" w:hAnsi="仿宋_GB2312" w:eastAsia="仿宋_GB2312" w:cs="仿宋_GB2312"/>
          <w:color w:val="000000"/>
          <w:sz w:val="32"/>
        </w:rPr>
        <w:t>万元。资金总</w:t>
      </w:r>
      <w:r>
        <w:rPr>
          <w:rFonts w:hint="eastAsia" w:ascii="仿宋_GB2312" w:hAnsi="仿宋_GB2312" w:eastAsia="仿宋_GB2312" w:cs="仿宋_GB2312"/>
          <w:color w:val="000000"/>
          <w:sz w:val="32"/>
          <w:lang w:eastAsia="zh-CN"/>
        </w:rPr>
        <w:t>体</w:t>
      </w:r>
      <w:r>
        <w:rPr>
          <w:rFonts w:hint="eastAsia" w:ascii="仿宋_GB2312" w:hAnsi="仿宋_GB2312" w:eastAsia="仿宋_GB2312" w:cs="仿宋_GB2312"/>
          <w:color w:val="000000"/>
          <w:sz w:val="32"/>
        </w:rPr>
        <w:t>支出</w:t>
      </w:r>
      <w:r>
        <w:rPr>
          <w:rFonts w:hint="eastAsia" w:ascii="仿宋_GB2312" w:hAnsi="仿宋_GB2312" w:eastAsia="仿宋_GB2312" w:cs="仿宋_GB2312"/>
          <w:color w:val="000000"/>
          <w:sz w:val="32"/>
          <w:lang w:val="en-US" w:eastAsia="zh-CN"/>
        </w:rPr>
        <w:t>15</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270.59</w:t>
      </w:r>
      <w:r>
        <w:rPr>
          <w:rFonts w:hint="eastAsia" w:ascii="仿宋_GB2312" w:hAnsi="仿宋_GB2312" w:eastAsia="仿宋_GB2312" w:cs="仿宋_GB2312"/>
          <w:color w:val="000000"/>
          <w:sz w:val="32"/>
        </w:rPr>
        <w:t>万元，其中</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基本支出</w:t>
      </w:r>
      <w:r>
        <w:rPr>
          <w:rFonts w:hint="eastAsia" w:ascii="仿宋_GB2312" w:hAnsi="仿宋_GB2312" w:eastAsia="仿宋_GB2312" w:cs="仿宋_GB2312"/>
          <w:color w:val="000000"/>
          <w:sz w:val="32"/>
          <w:lang w:val="en-US" w:eastAsia="zh-CN"/>
        </w:rPr>
        <w:t>10</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368.08</w:t>
      </w:r>
      <w:r>
        <w:rPr>
          <w:rFonts w:hint="eastAsia" w:ascii="仿宋_GB2312" w:hAnsi="仿宋_GB2312" w:eastAsia="仿宋_GB2312" w:cs="仿宋_GB2312"/>
          <w:color w:val="000000"/>
          <w:sz w:val="32"/>
        </w:rPr>
        <w:t>万元，项目支出</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902.51</w:t>
      </w:r>
      <w:r>
        <w:rPr>
          <w:rFonts w:hint="eastAsia" w:ascii="仿宋_GB2312" w:hAnsi="仿宋_GB2312" w:eastAsia="仿宋_GB2312" w:cs="仿宋_GB2312"/>
          <w:color w:val="000000"/>
          <w:sz w:val="32"/>
        </w:rPr>
        <w:t>万元</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预算执行率为</w:t>
      </w:r>
      <w:r>
        <w:rPr>
          <w:rFonts w:hint="eastAsia" w:ascii="仿宋_GB2312" w:hAnsi="仿宋_GB2312" w:eastAsia="仿宋_GB2312" w:cs="仿宋_GB2312"/>
          <w:color w:val="000000"/>
          <w:sz w:val="32"/>
          <w:lang w:val="en-US" w:eastAsia="zh-CN"/>
        </w:rPr>
        <w:t>96.97</w:t>
      </w:r>
      <w:r>
        <w:rPr>
          <w:rFonts w:hint="eastAsia" w:ascii="仿宋_GB2312" w:hAnsi="仿宋_GB2312" w:eastAsia="仿宋_GB2312" w:cs="仿宋_GB2312"/>
          <w:color w:val="000000"/>
          <w:sz w:val="32"/>
        </w:rPr>
        <w:t>%。</w:t>
      </w:r>
    </w:p>
    <w:p>
      <w:pPr>
        <w:ind w:left="105" w:leftChars="50" w:firstLine="480" w:firstLineChars="150"/>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ind w:left="105" w:leftChars="50" w:firstLine="480" w:firstLineChars="150"/>
        <w:outlineLvl w:val="1"/>
        <w:rPr>
          <w:rFonts w:ascii="楷体_GB2312" w:eastAsia="楷体_GB2312"/>
          <w:sz w:val="32"/>
          <w:szCs w:val="32"/>
        </w:rPr>
      </w:pPr>
      <w:r>
        <w:rPr>
          <w:rFonts w:hint="eastAsia" w:ascii="楷体_GB2312" w:eastAsia="楷体_GB2312"/>
          <w:sz w:val="32"/>
          <w:szCs w:val="32"/>
        </w:rPr>
        <w:t>（一）产出完成情况分析</w:t>
      </w:r>
    </w:p>
    <w:p>
      <w:pPr>
        <w:ind w:firstLine="642"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1.产出数量</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w:t>
      </w:r>
      <w:r>
        <w:rPr>
          <w:rFonts w:hint="eastAsia" w:ascii="仿宋_GB2312" w:hAnsi="仿宋_GB2312" w:eastAsia="仿宋_GB2312" w:cs="仿宋_GB2312"/>
          <w:color w:val="000000"/>
          <w:sz w:val="32"/>
          <w:lang w:eastAsia="zh-CN"/>
        </w:rPr>
        <w:t>全年共征集提案1</w:t>
      </w:r>
      <w:r>
        <w:rPr>
          <w:rFonts w:hint="eastAsia" w:ascii="仿宋_GB2312" w:hAnsi="仿宋_GB2312" w:eastAsia="仿宋_GB2312" w:cs="仿宋_GB2312"/>
          <w:color w:val="000000"/>
          <w:sz w:val="32"/>
          <w:lang w:val="en" w:eastAsia="zh-CN"/>
        </w:rPr>
        <w:t>565</w:t>
      </w:r>
      <w:r>
        <w:rPr>
          <w:rFonts w:hint="eastAsia" w:ascii="仿宋_GB2312" w:hAnsi="仿宋_GB2312" w:eastAsia="仿宋_GB2312" w:cs="仿宋_GB2312"/>
          <w:color w:val="000000"/>
          <w:sz w:val="32"/>
          <w:lang w:eastAsia="zh-CN"/>
        </w:rPr>
        <w:t>件，其中：集体提案15</w:t>
      </w:r>
      <w:r>
        <w:rPr>
          <w:rFonts w:hint="eastAsia" w:ascii="仿宋_GB2312" w:hAnsi="仿宋_GB2312" w:eastAsia="仿宋_GB2312" w:cs="仿宋_GB2312"/>
          <w:color w:val="000000"/>
          <w:sz w:val="32"/>
          <w:lang w:val="en" w:eastAsia="zh-CN"/>
        </w:rPr>
        <w:t>7</w:t>
      </w:r>
      <w:r>
        <w:rPr>
          <w:rFonts w:hint="eastAsia" w:ascii="仿宋_GB2312" w:hAnsi="仿宋_GB2312" w:eastAsia="仿宋_GB2312" w:cs="仿宋_GB2312"/>
          <w:color w:val="000000"/>
          <w:sz w:val="32"/>
          <w:lang w:eastAsia="zh-CN"/>
        </w:rPr>
        <w:t>件，平时提案167件，遴选出契合首都发展的10项议题共63件重点提案；组织重点提案办理协商会，</w:t>
      </w:r>
      <w:r>
        <w:rPr>
          <w:rFonts w:hint="eastAsia" w:ascii="仿宋_GB2312" w:hAnsi="仿宋_GB2312" w:eastAsia="仿宋_GB2312" w:cs="仿宋_GB2312"/>
          <w:color w:val="000000"/>
          <w:sz w:val="32"/>
          <w:lang w:val="en-US" w:eastAsia="zh-CN"/>
        </w:rPr>
        <w:t>4次</w:t>
      </w:r>
      <w:r>
        <w:rPr>
          <w:rFonts w:hint="eastAsia" w:ascii="仿宋_GB2312" w:hAnsi="仿宋_GB2312" w:eastAsia="仿宋_GB2312" w:cs="仿宋_GB2312"/>
          <w:color w:val="000000"/>
          <w:sz w:val="32"/>
          <w:lang w:eastAsia="zh-CN"/>
        </w:rPr>
        <w:t>“市民对话一把手，提案办理面对面”活动，对</w:t>
      </w:r>
      <w:r>
        <w:rPr>
          <w:rFonts w:hint="eastAsia" w:ascii="仿宋_GB2312" w:hAnsi="仿宋_GB2312" w:eastAsia="仿宋_GB2312" w:cs="仿宋_GB2312"/>
          <w:color w:val="000000"/>
          <w:sz w:val="32"/>
          <w:lang w:val="en-US" w:eastAsia="zh-CN"/>
        </w:rPr>
        <w:t>100个</w:t>
      </w:r>
      <w:r>
        <w:rPr>
          <w:rFonts w:hint="eastAsia" w:ascii="仿宋_GB2312" w:hAnsi="仿宋_GB2312" w:eastAsia="仿宋_GB2312" w:cs="仿宋_GB2312"/>
          <w:color w:val="000000"/>
          <w:sz w:val="32"/>
          <w:lang w:eastAsia="zh-CN"/>
        </w:rPr>
        <w:t>优秀提案进行评选表彰；积极稳妥推进1271</w:t>
      </w:r>
      <w:r>
        <w:rPr>
          <w:rFonts w:hint="eastAsia" w:ascii="仿宋_GB2312" w:hAnsi="仿宋_GB2312" w:eastAsia="仿宋_GB2312" w:cs="仿宋_GB2312"/>
          <w:color w:val="000000"/>
          <w:sz w:val="32"/>
          <w:lang w:val="en" w:eastAsia="zh-CN"/>
        </w:rPr>
        <w:t>件提案原文、</w:t>
      </w:r>
      <w:r>
        <w:rPr>
          <w:rFonts w:hint="eastAsia" w:ascii="仿宋_GB2312" w:hAnsi="仿宋_GB2312" w:eastAsia="仿宋_GB2312" w:cs="仿宋_GB2312"/>
          <w:color w:val="000000"/>
          <w:sz w:val="32"/>
          <w:lang w:eastAsia="zh-CN"/>
        </w:rPr>
        <w:t>943件答复意见面向社会公开，交办提案均已按期办结，解决或吸纳提案意见、推动完善工作的占办理总数的88.85%。</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eastAsia="zh-CN"/>
        </w:rPr>
        <w:t>组织召开北京市政协十三届五次全会；</w:t>
      </w:r>
      <w:r>
        <w:rPr>
          <w:rFonts w:hint="eastAsia" w:ascii="仿宋_GB2312" w:hAnsi="仿宋_GB2312" w:eastAsia="仿宋_GB2312" w:cs="仿宋_GB2312"/>
          <w:color w:val="000000"/>
          <w:sz w:val="32"/>
          <w:lang w:val="en-US" w:eastAsia="zh-CN"/>
        </w:rPr>
        <w:t>7</w:t>
      </w:r>
      <w:r>
        <w:rPr>
          <w:rFonts w:hint="eastAsia" w:ascii="仿宋_GB2312" w:hAnsi="仿宋_GB2312" w:eastAsia="仿宋_GB2312" w:cs="仿宋_GB2312"/>
          <w:color w:val="000000"/>
          <w:sz w:val="32"/>
          <w:lang w:eastAsia="zh-CN"/>
        </w:rPr>
        <w:t>次常委会（包括议政性常委会</w:t>
      </w:r>
      <w:r>
        <w:rPr>
          <w:rFonts w:hint="eastAsia" w:ascii="仿宋_GB2312" w:hAnsi="仿宋_GB2312" w:eastAsia="仿宋_GB2312" w:cs="仿宋_GB2312"/>
          <w:color w:val="000000"/>
          <w:sz w:val="32"/>
          <w:lang w:val="en-US" w:eastAsia="zh-CN"/>
        </w:rPr>
        <w:t>2次，学习性常委会2次，程序性常委会3次</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12次主席会（包括议政性主席会</w:t>
      </w:r>
      <w:r>
        <w:rPr>
          <w:rFonts w:hint="eastAsia" w:ascii="仿宋_GB2312" w:hAnsi="仿宋_GB2312" w:eastAsia="仿宋_GB2312" w:cs="仿宋_GB2312"/>
          <w:color w:val="000000"/>
          <w:sz w:val="32"/>
          <w:lang w:eastAsia="zh-CN"/>
        </w:rPr>
        <w:t>4次、学习性主席会</w:t>
      </w:r>
      <w:r>
        <w:rPr>
          <w:rFonts w:hint="eastAsia" w:ascii="仿宋_GB2312" w:hAnsi="仿宋_GB2312" w:eastAsia="仿宋_GB2312" w:cs="仿宋_GB2312"/>
          <w:color w:val="000000"/>
          <w:sz w:val="32"/>
          <w:lang w:val="en-US" w:eastAsia="zh-CN"/>
        </w:rPr>
        <w:t>2次、程序性主席会6次）；议政会2次；</w:t>
      </w:r>
      <w:r>
        <w:rPr>
          <w:rFonts w:hint="eastAsia" w:ascii="仿宋_GB2312" w:hAnsi="仿宋_GB2312" w:eastAsia="仿宋_GB2312" w:cs="仿宋_GB2312"/>
          <w:color w:val="000000"/>
          <w:sz w:val="32"/>
          <w:lang w:eastAsia="zh-CN"/>
        </w:rPr>
        <w:t>专项协商和立法协商会</w:t>
      </w:r>
      <w:r>
        <w:rPr>
          <w:rFonts w:hint="eastAsia" w:ascii="仿宋_GB2312" w:hAnsi="仿宋_GB2312" w:eastAsia="仿宋_GB2312" w:cs="仿宋_GB2312"/>
          <w:color w:val="000000"/>
          <w:sz w:val="32"/>
          <w:lang w:val="en-US" w:eastAsia="zh-CN"/>
        </w:rPr>
        <w:t>4次以及每月的秘书长会；开展</w:t>
      </w:r>
      <w:r>
        <w:rPr>
          <w:rFonts w:hint="eastAsia" w:ascii="仿宋_GB2312" w:hAnsi="仿宋_GB2312" w:eastAsia="仿宋_GB2312" w:cs="仿宋_GB2312"/>
          <w:color w:val="000000"/>
          <w:sz w:val="32"/>
          <w:lang w:eastAsia="zh-CN"/>
        </w:rPr>
        <w:t>议政会等重要会议，起草报送协商成果报告9份，完成委托课题调研报告</w:t>
      </w:r>
      <w:r>
        <w:rPr>
          <w:rFonts w:hint="eastAsia" w:ascii="仿宋_GB2312" w:hAnsi="仿宋_GB2312" w:eastAsia="仿宋_GB2312" w:cs="仿宋_GB2312"/>
          <w:color w:val="000000"/>
          <w:sz w:val="32"/>
          <w:lang w:val="en-US" w:eastAsia="zh-CN"/>
        </w:rPr>
        <w:t>5份</w:t>
      </w:r>
      <w:r>
        <w:rPr>
          <w:rFonts w:hint="eastAsia" w:ascii="仿宋_GB2312" w:hAnsi="仿宋_GB2312" w:eastAsia="仿宋_GB2312" w:cs="仿宋_GB2312"/>
          <w:color w:val="000000"/>
          <w:sz w:val="32"/>
          <w:lang w:eastAsia="zh-CN"/>
        </w:rPr>
        <w:t>。</w:t>
      </w:r>
    </w:p>
    <w:p>
      <w:pPr>
        <w:spacing w:line="620" w:lineRule="exact"/>
        <w:ind w:firstLine="640" w:firstLineChars="200"/>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3</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eastAsia="zh-CN"/>
        </w:rPr>
        <w:t>围绕学习贯彻中共二十大精神、协商民主建设等主题，举办专题学习研讨活动，</w:t>
      </w:r>
      <w:r>
        <w:rPr>
          <w:rFonts w:hint="eastAsia" w:ascii="仿宋_GB2312" w:hAnsi="仿宋_GB2312" w:eastAsia="仿宋_GB2312" w:cs="仿宋_GB2312"/>
          <w:color w:val="000000"/>
          <w:sz w:val="32"/>
          <w:szCs w:val="24"/>
        </w:rPr>
        <w:t>读书活动历时112天，共邀请148位专家辅导231次，读书群总浏览量18.84万次，交流发言23.42万次</w:t>
      </w:r>
      <w:r>
        <w:rPr>
          <w:rFonts w:hint="eastAsia" w:ascii="仿宋_GB2312" w:hAnsi="仿宋_GB2312" w:eastAsia="仿宋_GB2312" w:cs="仿宋_GB2312"/>
          <w:color w:val="000000"/>
          <w:sz w:val="32"/>
          <w:lang w:eastAsia="zh-CN"/>
        </w:rPr>
        <w:t>，委员累计1600余人次参加，报送学习体会400余篇；</w:t>
      </w:r>
      <w:r>
        <w:rPr>
          <w:rFonts w:hint="eastAsia" w:ascii="仿宋_GB2312" w:hAnsi="仿宋_GB2312" w:eastAsia="仿宋_GB2312" w:cs="仿宋_GB2312"/>
          <w:color w:val="000000"/>
          <w:sz w:val="32"/>
          <w:lang w:val="en-US" w:eastAsia="zh-CN"/>
        </w:rPr>
        <w:t>举办政协报告厅10次；委员讲堂10余次；</w:t>
      </w:r>
      <w:r>
        <w:rPr>
          <w:rFonts w:hint="eastAsia" w:ascii="仿宋_GB2312" w:hAnsi="仿宋_GB2312" w:eastAsia="仿宋_GB2312" w:cs="仿宋_GB2312"/>
          <w:color w:val="000000"/>
          <w:sz w:val="32"/>
          <w:lang w:eastAsia="zh-CN"/>
        </w:rPr>
        <w:t>建立研究基地开展理论研究和宣传阐释，印制《政协研究》四期、政协研讨会论文集</w:t>
      </w:r>
      <w:r>
        <w:rPr>
          <w:rFonts w:hint="eastAsia" w:ascii="仿宋_GB2312" w:hAnsi="仿宋_GB2312" w:eastAsia="仿宋_GB2312" w:cs="仿宋_GB2312"/>
          <w:color w:val="000000"/>
          <w:sz w:val="32"/>
          <w:szCs w:val="24"/>
        </w:rPr>
        <w:t>，组织北京青少年“模拟政协”实践</w:t>
      </w:r>
      <w:r>
        <w:rPr>
          <w:rFonts w:hint="eastAsia" w:ascii="仿宋_GB2312" w:hAnsi="仿宋_GB2312" w:eastAsia="仿宋_GB2312" w:cs="仿宋_GB2312"/>
          <w:color w:val="000000"/>
          <w:sz w:val="32"/>
          <w:szCs w:val="24"/>
          <w:lang w:eastAsia="zh-CN"/>
        </w:rPr>
        <w:t>，共有</w:t>
      </w:r>
      <w:r>
        <w:rPr>
          <w:rFonts w:hint="eastAsia" w:ascii="仿宋_GB2312" w:hAnsi="仿宋_GB2312" w:eastAsia="仿宋_GB2312" w:cs="仿宋_GB2312"/>
          <w:color w:val="000000"/>
          <w:sz w:val="32"/>
          <w:szCs w:val="24"/>
        </w:rPr>
        <w:t>在校师生1010人次、专家23人次观摩政协履职活动。</w:t>
      </w:r>
    </w:p>
    <w:p>
      <w:pPr>
        <w:spacing w:line="620" w:lineRule="exact"/>
        <w:ind w:firstLine="640" w:firstLineChars="200"/>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rPr>
        <w:t>（4）</w:t>
      </w:r>
      <w:r>
        <w:rPr>
          <w:rFonts w:hint="eastAsia" w:ascii="仿宋_GB2312" w:hAnsi="仿宋_GB2312" w:eastAsia="仿宋_GB2312" w:cs="仿宋_GB2312"/>
          <w:color w:val="000000"/>
          <w:sz w:val="32"/>
          <w:lang w:eastAsia="zh-CN"/>
        </w:rPr>
        <w:t>召开视频会议199次293小时，举办直播活动95场17小时。服务读书群成员3918人，支持线下直播12场；</w:t>
      </w:r>
      <w:r>
        <w:rPr>
          <w:rFonts w:hint="eastAsia" w:ascii="仿宋_GB2312" w:hAnsi="仿宋_GB2312" w:eastAsia="仿宋_GB2312" w:cs="仿宋_GB2312"/>
          <w:color w:val="000000"/>
          <w:sz w:val="32"/>
          <w:szCs w:val="24"/>
        </w:rPr>
        <w:t>推动各委员工作室开展特色活动，网上委员工作室讲座点击量达630余万次。</w:t>
      </w:r>
    </w:p>
    <w:p>
      <w:pPr>
        <w:ind w:firstLine="640"/>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）组织开展各类履职活动</w:t>
      </w:r>
      <w:r>
        <w:rPr>
          <w:rFonts w:hint="eastAsia" w:ascii="仿宋_GB2312" w:hAnsi="仿宋_GB2312" w:eastAsia="仿宋_GB2312" w:cs="仿宋_GB2312"/>
          <w:color w:val="000000"/>
          <w:sz w:val="32"/>
          <w:lang w:val="en-US" w:eastAsia="zh-CN"/>
        </w:rPr>
        <w:t>340</w:t>
      </w:r>
      <w:r>
        <w:rPr>
          <w:rFonts w:hint="eastAsia" w:ascii="仿宋_GB2312" w:hAnsi="仿宋_GB2312" w:eastAsia="仿宋_GB2312" w:cs="仿宋_GB2312"/>
          <w:color w:val="000000"/>
          <w:sz w:val="32"/>
        </w:rPr>
        <w:t>余次，</w:t>
      </w:r>
      <w:r>
        <w:rPr>
          <w:rFonts w:hint="eastAsia" w:ascii="仿宋_GB2312" w:hAnsi="仿宋_GB2312" w:eastAsia="仿宋_GB2312" w:cs="仿宋_GB2312"/>
          <w:color w:val="000000"/>
          <w:sz w:val="32"/>
          <w:szCs w:val="24"/>
        </w:rPr>
        <w:t>编报《诤友》信息</w:t>
      </w:r>
      <w:r>
        <w:rPr>
          <w:rFonts w:hint="eastAsia" w:ascii="仿宋_GB2312" w:hAnsi="仿宋_GB2312" w:eastAsia="仿宋_GB2312" w:cs="仿宋_GB2312"/>
          <w:color w:val="000000"/>
          <w:sz w:val="32"/>
          <w:szCs w:val="24"/>
          <w:lang w:eastAsia="zh-CN"/>
        </w:rPr>
        <w:t>2</w:t>
      </w:r>
      <w:r>
        <w:rPr>
          <w:rFonts w:hint="eastAsia" w:ascii="仿宋_GB2312" w:hAnsi="仿宋_GB2312" w:eastAsia="仿宋_GB2312" w:cs="仿宋_GB2312"/>
          <w:color w:val="000000"/>
          <w:sz w:val="32"/>
          <w:szCs w:val="24"/>
          <w:lang w:val="en-US" w:eastAsia="zh-CN"/>
        </w:rPr>
        <w:t>076</w:t>
      </w:r>
      <w:r>
        <w:rPr>
          <w:rFonts w:hint="eastAsia" w:ascii="仿宋_GB2312" w:hAnsi="仿宋_GB2312" w:eastAsia="仿宋_GB2312" w:cs="仿宋_GB2312"/>
          <w:color w:val="000000"/>
          <w:sz w:val="32"/>
          <w:szCs w:val="24"/>
        </w:rPr>
        <w:t>期，</w:t>
      </w:r>
      <w:r>
        <w:rPr>
          <w:rFonts w:hint="eastAsia" w:ascii="仿宋_GB2312" w:hAnsi="仿宋_GB2312" w:eastAsia="仿宋_GB2312" w:cs="仿宋_GB2312"/>
          <w:color w:val="000000"/>
          <w:sz w:val="32"/>
          <w:lang w:val="en-US" w:eastAsia="zh-CN"/>
        </w:rPr>
        <w:t>6500</w:t>
      </w:r>
      <w:r>
        <w:rPr>
          <w:rFonts w:hint="eastAsia" w:ascii="仿宋_GB2312" w:hAnsi="仿宋_GB2312" w:eastAsia="仿宋_GB2312" w:cs="仿宋_GB2312"/>
          <w:color w:val="000000"/>
          <w:sz w:val="32"/>
        </w:rPr>
        <w:t>余人次委员参与政协履职</w:t>
      </w:r>
      <w:r>
        <w:rPr>
          <w:rFonts w:hint="eastAsia" w:ascii="仿宋_GB2312" w:hAnsi="仿宋_GB2312" w:eastAsia="仿宋_GB2312" w:cs="仿宋_GB2312"/>
          <w:color w:val="000000"/>
          <w:sz w:val="32"/>
          <w:lang w:eastAsia="zh-CN"/>
        </w:rPr>
        <w:t>，出版发行</w:t>
      </w:r>
      <w:r>
        <w:rPr>
          <w:rFonts w:hint="eastAsia" w:ascii="仿宋_GB2312" w:hAnsi="仿宋_GB2312" w:eastAsia="仿宋_GB2312" w:cs="仿宋_GB2312"/>
          <w:color w:val="000000"/>
          <w:sz w:val="32"/>
          <w:lang w:val="en-US" w:eastAsia="zh-CN"/>
        </w:rPr>
        <w:t>12期《北京观察》。</w:t>
      </w:r>
    </w:p>
    <w:p>
      <w:pPr>
        <w:ind w:firstLine="640" w:firstLineChars="200"/>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6）召开十三届市政协总结表彰大会，拍摄完成《履职新时代》十三届市政协工作成果专题片，编辑出版《新时代政协工作的探索与实践》、《新时期北京市政协提案工作理论与实践》、《宗教中国化北京故事》、《委员履职感悟》、</w:t>
      </w:r>
      <w:r>
        <w:rPr>
          <w:rFonts w:hint="eastAsia" w:ascii="仿宋_GB2312" w:hAnsi="仿宋_GB2312" w:eastAsia="仿宋_GB2312" w:cs="仿宋_GB2312"/>
          <w:color w:val="000000"/>
          <w:sz w:val="32"/>
          <w:lang w:eastAsia="zh-CN"/>
        </w:rPr>
        <w:t>印制《北京市政协委员履职实务》，评选“京华同心奖”和提名奖</w:t>
      </w:r>
      <w:r>
        <w:rPr>
          <w:rFonts w:hint="eastAsia" w:ascii="仿宋_GB2312" w:hAnsi="仿宋_GB2312" w:eastAsia="仿宋_GB2312" w:cs="仿宋_GB2312"/>
          <w:color w:val="000000"/>
          <w:sz w:val="32"/>
          <w:lang w:val="en-US" w:eastAsia="zh-CN"/>
        </w:rPr>
        <w:t>34个</w:t>
      </w:r>
      <w:r>
        <w:rPr>
          <w:rFonts w:hint="eastAsia" w:ascii="仿宋_GB2312" w:hAnsi="仿宋_GB2312" w:eastAsia="仿宋_GB2312" w:cs="仿宋_GB2312"/>
          <w:color w:val="000000"/>
          <w:sz w:val="32"/>
          <w:lang w:eastAsia="zh-CN"/>
        </w:rPr>
        <w:t>。</w:t>
      </w:r>
    </w:p>
    <w:p>
      <w:pPr>
        <w:ind w:firstLine="642"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2.产出质量</w:t>
      </w:r>
    </w:p>
    <w:p>
      <w:pPr>
        <w:ind w:left="105" w:leftChars="50" w:firstLine="480" w:firstLineChars="150"/>
        <w:rPr>
          <w:highlight w:val="none"/>
        </w:rPr>
      </w:pPr>
      <w:r>
        <w:rPr>
          <w:rFonts w:hint="eastAsia" w:ascii="仿宋_GB2312" w:hAnsi="宋体" w:eastAsia="仿宋_GB2312" w:cs="宋体"/>
          <w:color w:val="000000"/>
          <w:kern w:val="0"/>
          <w:sz w:val="32"/>
          <w:szCs w:val="32"/>
          <w:highlight w:val="none"/>
          <w:lang w:eastAsia="zh-CN"/>
        </w:rPr>
        <w:t>坚持用习近平新时代中国特色社会主义思想武装头脑，</w:t>
      </w:r>
      <w:r>
        <w:rPr>
          <w:rFonts w:hint="eastAsia" w:ascii="仿宋_GB2312" w:hAnsi="宋体" w:eastAsia="仿宋_GB2312" w:cs="宋体"/>
          <w:color w:val="000000"/>
          <w:kern w:val="0"/>
          <w:sz w:val="32"/>
          <w:szCs w:val="32"/>
          <w:highlight w:val="none"/>
        </w:rPr>
        <w:t>思想政治</w:t>
      </w:r>
      <w:r>
        <w:rPr>
          <w:rFonts w:hint="eastAsia" w:ascii="仿宋_GB2312" w:hAnsi="宋体" w:eastAsia="仿宋_GB2312" w:cs="宋体"/>
          <w:color w:val="000000"/>
          <w:kern w:val="0"/>
          <w:sz w:val="32"/>
          <w:szCs w:val="32"/>
          <w:highlight w:val="none"/>
          <w:lang w:eastAsia="zh-CN"/>
        </w:rPr>
        <w:t>得到了新加强；积极参与国家的大事要事，新时代政协组织展现了新形象</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发挥专门协商机构作用，助推新时代首都发展体现了新作为；强化责任担当，委员队伍建设迈出新步伐；</w:t>
      </w:r>
      <w:r>
        <w:rPr>
          <w:rFonts w:hint="eastAsia" w:ascii="仿宋_GB2312" w:hAnsi="宋体" w:eastAsia="仿宋_GB2312" w:cs="宋体"/>
          <w:color w:val="000000"/>
          <w:kern w:val="0"/>
          <w:sz w:val="32"/>
          <w:szCs w:val="32"/>
          <w:highlight w:val="none"/>
        </w:rPr>
        <w:t>夯实履职保障基础，在助力首都发展中作出了新贡献。</w:t>
      </w:r>
      <w:r>
        <w:rPr>
          <w:rFonts w:hint="eastAsia" w:ascii="仿宋_GB2312" w:hAnsi="宋体" w:eastAsia="仿宋_GB2312" w:cs="宋体"/>
          <w:color w:val="000000"/>
          <w:kern w:val="0"/>
          <w:sz w:val="32"/>
          <w:szCs w:val="32"/>
          <w:highlight w:val="none"/>
          <w:lang w:eastAsia="zh-CN"/>
        </w:rPr>
        <w:t>政协作为</w:t>
      </w:r>
      <w:r>
        <w:rPr>
          <w:rFonts w:hint="eastAsia" w:ascii="仿宋_GB2312" w:hAnsi="宋体" w:eastAsia="仿宋_GB2312" w:cs="宋体"/>
          <w:color w:val="000000"/>
          <w:kern w:val="0"/>
          <w:sz w:val="32"/>
          <w:szCs w:val="32"/>
          <w:highlight w:val="none"/>
        </w:rPr>
        <w:t>专门协商机构在首都治理体系中的优势得到进一步彰显</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凝聚共识的责任感和自觉性</w:t>
      </w:r>
      <w:r>
        <w:rPr>
          <w:rFonts w:hint="eastAsia" w:ascii="仿宋_GB2312" w:hAnsi="宋体" w:eastAsia="仿宋_GB2312" w:cs="宋体"/>
          <w:color w:val="000000"/>
          <w:kern w:val="0"/>
          <w:sz w:val="32"/>
          <w:szCs w:val="32"/>
          <w:highlight w:val="none"/>
          <w:lang w:eastAsia="zh-CN"/>
        </w:rPr>
        <w:t>进一步增强。</w:t>
      </w:r>
    </w:p>
    <w:p>
      <w:pPr>
        <w:ind w:firstLine="642"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3.产出进度</w:t>
      </w:r>
    </w:p>
    <w:p>
      <w:pPr>
        <w:ind w:left="105" w:leftChars="50"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2022年，</w:t>
      </w:r>
      <w:r>
        <w:rPr>
          <w:rFonts w:hint="eastAsia" w:ascii="仿宋_GB2312" w:hAnsi="宋体" w:eastAsia="仿宋_GB2312" w:cs="宋体"/>
          <w:color w:val="000000"/>
          <w:kern w:val="0"/>
          <w:sz w:val="32"/>
          <w:szCs w:val="32"/>
          <w:highlight w:val="none"/>
        </w:rPr>
        <w:t>按照年初预算批复及年中追加调整，</w:t>
      </w:r>
      <w:r>
        <w:rPr>
          <w:rFonts w:hint="eastAsia" w:ascii="仿宋_GB2312" w:hAnsi="宋体" w:eastAsia="仿宋_GB2312" w:cs="宋体"/>
          <w:color w:val="000000"/>
          <w:kern w:val="0"/>
          <w:sz w:val="32"/>
          <w:szCs w:val="32"/>
          <w:highlight w:val="none"/>
          <w:lang w:eastAsia="zh-CN"/>
        </w:rPr>
        <w:t>有力保障了各项工作安排和项目落实，达到了各项预期目标，</w:t>
      </w:r>
      <w:r>
        <w:rPr>
          <w:rFonts w:hint="eastAsia" w:ascii="仿宋_GB2312" w:hAnsi="宋体" w:eastAsia="仿宋_GB2312" w:cs="宋体"/>
          <w:color w:val="000000"/>
          <w:kern w:val="0"/>
          <w:sz w:val="32"/>
          <w:szCs w:val="32"/>
          <w:highlight w:val="none"/>
        </w:rPr>
        <w:t>产出进度总体执行较好</w:t>
      </w:r>
      <w:r>
        <w:rPr>
          <w:rFonts w:hint="eastAsia" w:ascii="仿宋_GB2312" w:hAnsi="宋体" w:eastAsia="仿宋_GB2312" w:cs="宋体"/>
          <w:color w:val="000000"/>
          <w:kern w:val="0"/>
          <w:sz w:val="32"/>
          <w:szCs w:val="32"/>
          <w:highlight w:val="none"/>
          <w:lang w:eastAsia="zh-CN"/>
        </w:rPr>
        <w:t>。由于疫情影响，</w:t>
      </w:r>
      <w:r>
        <w:rPr>
          <w:rFonts w:hint="eastAsia" w:ascii="仿宋_GB2312" w:hAnsi="宋体" w:eastAsia="仿宋_GB2312" w:cs="宋体"/>
          <w:color w:val="000000"/>
          <w:kern w:val="0"/>
          <w:sz w:val="32"/>
          <w:szCs w:val="32"/>
          <w:highlight w:val="none"/>
        </w:rPr>
        <w:t>部分项目</w:t>
      </w:r>
      <w:r>
        <w:rPr>
          <w:rFonts w:hint="eastAsia" w:ascii="仿宋_GB2312" w:hAnsi="宋体" w:eastAsia="仿宋_GB2312" w:cs="宋体"/>
          <w:color w:val="000000"/>
          <w:kern w:val="0"/>
          <w:sz w:val="32"/>
          <w:szCs w:val="32"/>
          <w:highlight w:val="none"/>
          <w:lang w:eastAsia="zh-CN"/>
        </w:rPr>
        <w:t>根据实际工作情况较原计划工作略有调整，有的项目在招标、合同签订等方面有些延后，</w:t>
      </w:r>
      <w:r>
        <w:rPr>
          <w:rFonts w:hint="eastAsia" w:ascii="仿宋_GB2312" w:hAnsi="宋体" w:eastAsia="仿宋_GB2312" w:cs="宋体"/>
          <w:color w:val="000000"/>
          <w:kern w:val="0"/>
          <w:sz w:val="32"/>
          <w:szCs w:val="32"/>
          <w:highlight w:val="none"/>
        </w:rPr>
        <w:t>其余指标均按计划进度执行。</w:t>
      </w:r>
    </w:p>
    <w:p>
      <w:pPr>
        <w:ind w:firstLine="642"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4.产出成本</w:t>
      </w:r>
    </w:p>
    <w:p>
      <w:pPr>
        <w:snapToGrid w:val="0"/>
        <w:spacing w:line="600" w:lineRule="exact"/>
        <w:ind w:firstLine="800" w:firstLineChars="250"/>
        <w:rPr>
          <w:rFonts w:hint="eastAsia" w:ascii="仿宋_GB2312" w:hAnsi="仿宋_GB2312" w:eastAsia="仿宋_GB2312" w:cs="仿宋_GB2312"/>
          <w:color w:val="000000"/>
          <w:sz w:val="32"/>
          <w:szCs w:val="24"/>
        </w:rPr>
      </w:pP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w:t>
      </w:r>
      <w:r>
        <w:rPr>
          <w:rFonts w:hint="eastAsia" w:ascii="仿宋_GB2312" w:hAnsi="仿宋_GB2312" w:eastAsia="仿宋_GB2312" w:cs="仿宋_GB2312"/>
          <w:color w:val="000000"/>
          <w:sz w:val="32"/>
          <w:lang w:val="en-US" w:eastAsia="zh-CN"/>
        </w:rPr>
        <w:t>部门</w:t>
      </w:r>
      <w:r>
        <w:rPr>
          <w:rFonts w:hint="eastAsia" w:ascii="仿宋_GB2312" w:hAnsi="仿宋_GB2312" w:eastAsia="仿宋_GB2312" w:cs="仿宋_GB2312"/>
          <w:color w:val="000000"/>
          <w:sz w:val="32"/>
        </w:rPr>
        <w:t>预算</w:t>
      </w:r>
      <w:r>
        <w:rPr>
          <w:rFonts w:hint="eastAsia" w:ascii="仿宋_GB2312" w:hAnsi="仿宋_GB2312" w:eastAsia="仿宋_GB2312" w:cs="仿宋_GB2312"/>
          <w:color w:val="000000"/>
          <w:sz w:val="32"/>
          <w:lang w:val="en-US" w:eastAsia="zh-CN"/>
        </w:rPr>
        <w:t>批复</w:t>
      </w:r>
      <w:r>
        <w:rPr>
          <w:rFonts w:hint="eastAsia" w:ascii="仿宋_GB2312" w:hAnsi="仿宋_GB2312" w:eastAsia="仿宋_GB2312" w:cs="仿宋_GB2312"/>
          <w:color w:val="000000"/>
          <w:sz w:val="32"/>
        </w:rPr>
        <w:t>15,747.39万元，</w:t>
      </w:r>
      <w:r>
        <w:rPr>
          <w:rFonts w:hint="eastAsia" w:ascii="仿宋_GB2312" w:hAnsi="仿宋_GB2312" w:eastAsia="仿宋_GB2312" w:cs="仿宋_GB2312"/>
          <w:color w:val="000000"/>
          <w:sz w:val="32"/>
          <w:lang w:val="en-US" w:eastAsia="zh-CN"/>
        </w:rPr>
        <w:t>实际预算</w:t>
      </w:r>
      <w:r>
        <w:rPr>
          <w:rFonts w:hint="eastAsia" w:ascii="仿宋_GB2312" w:hAnsi="仿宋_GB2312" w:eastAsia="仿宋_GB2312" w:cs="仿宋_GB2312"/>
          <w:color w:val="000000"/>
          <w:sz w:val="32"/>
        </w:rPr>
        <w:t>支出</w:t>
      </w:r>
      <w:r>
        <w:rPr>
          <w:rFonts w:hint="eastAsia" w:ascii="仿宋_GB2312" w:hAnsi="仿宋_GB2312" w:eastAsia="仿宋_GB2312" w:cs="仿宋_GB2312"/>
          <w:color w:val="000000"/>
          <w:sz w:val="32"/>
          <w:lang w:val="en-US" w:eastAsia="zh-CN"/>
        </w:rPr>
        <w:t>15</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270.59</w:t>
      </w:r>
      <w:r>
        <w:rPr>
          <w:rFonts w:hint="eastAsia" w:ascii="仿宋_GB2312" w:hAnsi="仿宋_GB2312" w:eastAsia="仿宋_GB2312" w:cs="仿宋_GB2312"/>
          <w:color w:val="000000"/>
          <w:sz w:val="32"/>
        </w:rPr>
        <w:t>万元，</w:t>
      </w:r>
      <w:r>
        <w:rPr>
          <w:rFonts w:hint="eastAsia" w:ascii="仿宋_GB2312" w:hAnsi="宋体" w:eastAsia="仿宋_GB2312" w:cs="宋体"/>
          <w:color w:val="000000"/>
          <w:kern w:val="0"/>
          <w:sz w:val="32"/>
          <w:szCs w:val="32"/>
          <w:highlight w:val="none"/>
        </w:rPr>
        <w:t>部</w:t>
      </w:r>
      <w:r>
        <w:rPr>
          <w:rFonts w:hint="eastAsia" w:ascii="仿宋_GB2312" w:eastAsia="仿宋_GB2312"/>
          <w:sz w:val="32"/>
          <w:szCs w:val="32"/>
          <w:highlight w:val="none"/>
        </w:rPr>
        <w:t>门整体支出控制在预算</w:t>
      </w:r>
      <w:r>
        <w:rPr>
          <w:rFonts w:hint="eastAsia" w:ascii="仿宋_GB2312" w:eastAsia="仿宋_GB2312"/>
          <w:sz w:val="32"/>
          <w:szCs w:val="32"/>
          <w:highlight w:val="none"/>
          <w:lang w:val="en-US" w:eastAsia="zh-CN"/>
        </w:rPr>
        <w:t>范围</w:t>
      </w:r>
      <w:r>
        <w:rPr>
          <w:rFonts w:hint="eastAsia" w:ascii="仿宋_GB2312" w:eastAsia="仿宋_GB2312"/>
          <w:sz w:val="32"/>
          <w:szCs w:val="32"/>
          <w:highlight w:val="none"/>
        </w:rPr>
        <w:t>内</w:t>
      </w:r>
      <w:r>
        <w:rPr>
          <w:rFonts w:hint="eastAsia" w:ascii="仿宋_GB2312" w:eastAsia="仿宋_GB2312"/>
          <w:sz w:val="32"/>
          <w:szCs w:val="32"/>
          <w:highlight w:val="none"/>
          <w:lang w:eastAsia="zh-CN"/>
        </w:rPr>
        <w:t>，</w:t>
      </w:r>
      <w:r>
        <w:rPr>
          <w:rFonts w:hint="eastAsia" w:ascii="仿宋_GB2312" w:hAnsi="仿宋_GB2312" w:eastAsia="仿宋_GB2312" w:cs="仿宋_GB2312"/>
          <w:color w:val="000000"/>
          <w:sz w:val="32"/>
          <w:szCs w:val="24"/>
          <w:lang w:val="en-US" w:eastAsia="zh-CN"/>
        </w:rPr>
        <w:t>其中：基本支出中人员经费支出9569.8万元，占总支出的62.7%。公用支出798.28万元，</w:t>
      </w:r>
      <w:r>
        <w:rPr>
          <w:rFonts w:hint="eastAsia" w:ascii="仿宋_GB2312" w:hAnsi="仿宋_GB2312" w:eastAsia="仿宋_GB2312" w:cs="仿宋_GB2312"/>
          <w:color w:val="000000"/>
          <w:sz w:val="32"/>
          <w:szCs w:val="24"/>
          <w:lang w:eastAsia="zh-CN"/>
        </w:rPr>
        <w:t>占总支出的</w:t>
      </w:r>
      <w:r>
        <w:rPr>
          <w:rFonts w:hint="eastAsia" w:ascii="仿宋_GB2312" w:hAnsi="仿宋_GB2312" w:eastAsia="仿宋_GB2312" w:cs="仿宋_GB2312"/>
          <w:color w:val="000000"/>
          <w:sz w:val="32"/>
          <w:szCs w:val="24"/>
          <w:lang w:val="en-US" w:eastAsia="zh-CN"/>
        </w:rPr>
        <w:t>5.2</w:t>
      </w:r>
      <w:r>
        <w:rPr>
          <w:rFonts w:hint="eastAsia" w:ascii="仿宋_GB2312" w:hAnsi="仿宋_GB2312" w:eastAsia="仿宋_GB2312" w:cs="仿宋_GB2312"/>
          <w:color w:val="000000"/>
          <w:sz w:val="32"/>
          <w:szCs w:val="24"/>
        </w:rPr>
        <w:t>%；项目支出</w:t>
      </w:r>
      <w:r>
        <w:rPr>
          <w:rFonts w:hint="eastAsia" w:ascii="仿宋_GB2312" w:hAnsi="仿宋_GB2312" w:eastAsia="仿宋_GB2312" w:cs="仿宋_GB2312"/>
          <w:color w:val="000000"/>
          <w:sz w:val="32"/>
          <w:szCs w:val="24"/>
          <w:lang w:val="en-US" w:eastAsia="zh-CN"/>
        </w:rPr>
        <w:t>4902.51</w:t>
      </w:r>
      <w:r>
        <w:rPr>
          <w:rFonts w:hint="eastAsia" w:ascii="仿宋_GB2312" w:hAnsi="仿宋_GB2312" w:eastAsia="仿宋_GB2312" w:cs="仿宋_GB2312"/>
          <w:color w:val="000000"/>
          <w:sz w:val="32"/>
          <w:szCs w:val="24"/>
        </w:rPr>
        <w:t>万元，占总支出的</w:t>
      </w:r>
      <w:r>
        <w:rPr>
          <w:rFonts w:hint="eastAsia" w:ascii="仿宋_GB2312" w:hAnsi="仿宋_GB2312" w:eastAsia="仿宋_GB2312" w:cs="仿宋_GB2312"/>
          <w:color w:val="000000"/>
          <w:sz w:val="32"/>
          <w:szCs w:val="24"/>
          <w:lang w:val="en-US" w:eastAsia="zh-CN"/>
        </w:rPr>
        <w:t>32.1</w:t>
      </w:r>
      <w:r>
        <w:rPr>
          <w:rFonts w:hint="eastAsia" w:ascii="仿宋_GB2312" w:hAnsi="仿宋_GB2312" w:eastAsia="仿宋_GB2312" w:cs="仿宋_GB2312"/>
          <w:color w:val="000000"/>
          <w:sz w:val="32"/>
          <w:szCs w:val="24"/>
        </w:rPr>
        <w:t>%。</w:t>
      </w:r>
    </w:p>
    <w:p>
      <w:pPr>
        <w:snapToGrid w:val="0"/>
        <w:spacing w:line="600" w:lineRule="exact"/>
        <w:ind w:firstLine="800" w:firstLineChars="25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一是严格落实过“紧日子”的要求，在保基本保运转的情况下，严控一般性支出。</w:t>
      </w:r>
      <w:r>
        <w:rPr>
          <w:rFonts w:hint="eastAsia" w:ascii="仿宋_GB2312" w:eastAsia="仿宋_GB2312"/>
          <w:sz w:val="32"/>
          <w:szCs w:val="32"/>
          <w:highlight w:val="none"/>
          <w:lang w:val="en-US" w:eastAsia="zh-CN"/>
        </w:rPr>
        <w:t>2022年由于人员增加，</w:t>
      </w:r>
      <w:r>
        <w:rPr>
          <w:rFonts w:hint="eastAsia" w:ascii="仿宋_GB2312" w:eastAsia="仿宋_GB2312"/>
          <w:sz w:val="32"/>
          <w:szCs w:val="32"/>
          <w:highlight w:val="none"/>
          <w:lang w:eastAsia="zh-CN"/>
        </w:rPr>
        <w:t>除人员经费支出比</w:t>
      </w:r>
      <w:r>
        <w:rPr>
          <w:rFonts w:hint="eastAsia" w:ascii="仿宋_GB2312" w:eastAsia="仿宋_GB2312"/>
          <w:sz w:val="32"/>
          <w:szCs w:val="32"/>
          <w:highlight w:val="none"/>
          <w:lang w:val="en-US" w:eastAsia="zh-CN"/>
        </w:rPr>
        <w:t>2021年人员经费</w:t>
      </w:r>
      <w:r>
        <w:rPr>
          <w:rFonts w:hint="eastAsia" w:ascii="仿宋_GB2312" w:eastAsia="仿宋_GB2312"/>
          <w:sz w:val="32"/>
          <w:szCs w:val="32"/>
          <w:highlight w:val="none"/>
          <w:lang w:eastAsia="zh-CN"/>
        </w:rPr>
        <w:t>8</w:t>
      </w:r>
      <w:r>
        <w:rPr>
          <w:rFonts w:hint="eastAsia" w:ascii="仿宋_GB2312" w:eastAsia="仿宋_GB2312"/>
          <w:sz w:val="32"/>
          <w:szCs w:val="32"/>
          <w:highlight w:val="none"/>
          <w:lang w:val="en-US" w:eastAsia="zh-CN"/>
        </w:rPr>
        <w:t>685.24万元，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10.2%</w:t>
      </w:r>
      <w:r>
        <w:rPr>
          <w:rFonts w:hint="eastAsia" w:ascii="仿宋_GB2312" w:eastAsia="仿宋_GB2312"/>
          <w:sz w:val="32"/>
          <w:szCs w:val="32"/>
          <w:highlight w:val="none"/>
          <w:lang w:eastAsia="zh-CN"/>
        </w:rPr>
        <w:t>外，公用经费支出比</w:t>
      </w:r>
      <w:r>
        <w:rPr>
          <w:rFonts w:hint="eastAsia" w:ascii="仿宋_GB2312" w:eastAsia="仿宋_GB2312"/>
          <w:sz w:val="32"/>
          <w:szCs w:val="32"/>
          <w:highlight w:val="none"/>
          <w:lang w:val="en-US" w:eastAsia="zh-CN"/>
        </w:rPr>
        <w:t>2021年893.9万元，下降10.7%，项目支出比2021年5027.05万元，下降2.54%。</w:t>
      </w:r>
    </w:p>
    <w:p>
      <w:pPr>
        <w:snapToGrid w:val="0"/>
        <w:spacing w:line="600" w:lineRule="exact"/>
        <w:ind w:firstLine="800" w:firstLineChars="25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二是加强预算评审。2022年继续加强对部门新增项目和有预算变化项目的预算评审工作，严控项目成本，2022年共组织项目支出评审12个，审减资金19.55万元。</w:t>
      </w:r>
    </w:p>
    <w:p>
      <w:pPr>
        <w:snapToGrid w:val="0"/>
        <w:spacing w:line="600" w:lineRule="exact"/>
        <w:ind w:firstLine="800" w:firstLineChars="25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三是加强采购比选。严格落实采购工作内控制度，加强采购比选，严格执行政府采购程序。</w:t>
      </w:r>
    </w:p>
    <w:p>
      <w:pPr>
        <w:ind w:left="105" w:leftChars="50" w:firstLine="480" w:firstLineChars="150"/>
        <w:outlineLvl w:val="1"/>
        <w:rPr>
          <w:rFonts w:ascii="仿宋_GB2312" w:hAnsi="宋体" w:eastAsia="仿宋_GB2312" w:cs="宋体"/>
          <w:color w:val="000000"/>
          <w:kern w:val="0"/>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1.社会效益</w:t>
      </w:r>
    </w:p>
    <w:p>
      <w:pPr>
        <w:ind w:firstLine="640" w:firstLineChars="200"/>
        <w:rPr>
          <w:rFonts w:hint="eastAsia" w:eastAsia="仿宋_GB2312"/>
          <w:highlight w:val="none"/>
          <w:lang w:eastAsia="zh-CN"/>
        </w:rPr>
      </w:pPr>
      <w:r>
        <w:rPr>
          <w:rFonts w:hint="eastAsia" w:ascii="仿宋_GB2312" w:eastAsia="仿宋_GB2312"/>
          <w:sz w:val="32"/>
          <w:szCs w:val="32"/>
          <w:highlight w:val="none"/>
          <w:lang w:val="en-US" w:eastAsia="zh-CN"/>
        </w:rPr>
        <w:t>2022年北京市政协充分发挥了专门协商机构作用，紧扣加强“四个中心”功能建设、提高“四个服务”水平和人民群众普遍关心的热点难点问题，深入协商、集中议政、强化监督、助推落实，各项工作取得了较好效果。通过协商事务活动</w:t>
      </w:r>
      <w:r>
        <w:rPr>
          <w:rFonts w:hint="eastAsia" w:ascii="仿宋_GB2312" w:eastAsia="仿宋_GB2312"/>
          <w:sz w:val="32"/>
          <w:szCs w:val="32"/>
          <w:highlight w:val="none"/>
        </w:rPr>
        <w:t>展示委员履职风采，面向社会传播共识，使协商民主理念深入人心，为首都高质量发展凝心聚力</w:t>
      </w:r>
      <w:r>
        <w:rPr>
          <w:rFonts w:hint="eastAsia" w:ascii="仿宋_GB2312" w:eastAsia="仿宋_GB2312"/>
          <w:sz w:val="32"/>
          <w:szCs w:val="32"/>
          <w:highlight w:val="none"/>
          <w:lang w:eastAsia="zh-CN"/>
        </w:rPr>
        <w:t>；通过组织界别委员参加视察考察活动，广开言路，广开才路，充分发挥委员的专长和作用，使委员提出更好建议和意见，共同推动新时代首都发展；通过</w:t>
      </w:r>
      <w:r>
        <w:rPr>
          <w:rFonts w:hint="eastAsia" w:ascii="仿宋_GB2312" w:eastAsia="仿宋_GB2312"/>
          <w:sz w:val="32"/>
          <w:szCs w:val="32"/>
          <w:highlight w:val="none"/>
          <w:lang w:val="en-US" w:eastAsia="zh-CN"/>
        </w:rPr>
        <w:t>各类</w:t>
      </w:r>
      <w:r>
        <w:rPr>
          <w:rFonts w:hint="eastAsia" w:ascii="仿宋_GB2312" w:eastAsia="仿宋_GB2312"/>
          <w:sz w:val="32"/>
          <w:szCs w:val="32"/>
          <w:highlight w:val="none"/>
          <w:lang w:eastAsia="zh-CN"/>
        </w:rPr>
        <w:t>会议的召开和</w:t>
      </w:r>
      <w:r>
        <w:rPr>
          <w:rFonts w:hint="eastAsia" w:ascii="仿宋_GB2312" w:hAnsi="仿宋_GB2312" w:eastAsia="仿宋_GB2312" w:cs="仿宋_GB2312"/>
          <w:sz w:val="32"/>
          <w:szCs w:val="32"/>
          <w:highlight w:val="none"/>
        </w:rPr>
        <w:t>工作方式</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创新，</w:t>
      </w:r>
      <w:r>
        <w:rPr>
          <w:rFonts w:hint="eastAsia" w:ascii="仿宋_GB2312" w:eastAsia="仿宋_GB2312"/>
          <w:sz w:val="32"/>
          <w:szCs w:val="32"/>
          <w:highlight w:val="none"/>
          <w:lang w:eastAsia="zh-CN"/>
        </w:rPr>
        <w:t>增进共识、凝心聚力、</w:t>
      </w:r>
      <w:r>
        <w:rPr>
          <w:rFonts w:hint="eastAsia" w:ascii="仿宋_GB2312" w:hAnsi="仿宋_GB2312" w:eastAsia="仿宋_GB2312" w:cs="仿宋_GB2312"/>
          <w:sz w:val="32"/>
          <w:szCs w:val="32"/>
          <w:highlight w:val="none"/>
        </w:rPr>
        <w:t>在提质增效上下功夫，</w:t>
      </w:r>
      <w:r>
        <w:rPr>
          <w:rFonts w:hint="eastAsia" w:ascii="仿宋_GB2312" w:eastAsia="仿宋_GB2312"/>
          <w:sz w:val="32"/>
          <w:szCs w:val="32"/>
          <w:highlight w:val="none"/>
          <w:lang w:eastAsia="zh-CN"/>
        </w:rPr>
        <w:t>不断扩大协商议政工作的影响力。</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2.可持续性影响</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北京市政协机关积极</w:t>
      </w:r>
      <w:r>
        <w:rPr>
          <w:rFonts w:hint="eastAsia" w:ascii="仿宋_GB2312" w:hAnsi="仿宋_GB2312" w:eastAsia="仿宋_GB2312" w:cs="仿宋_GB2312"/>
          <w:sz w:val="32"/>
          <w:szCs w:val="32"/>
          <w:highlight w:val="none"/>
        </w:rPr>
        <w:t>推动专门协商机构制度</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在发挥委员主体作用上下功夫，结合履职</w:t>
      </w:r>
      <w:bookmarkStart w:id="1" w:name="_GoBack"/>
      <w:bookmarkEnd w:id="1"/>
      <w:r>
        <w:rPr>
          <w:rFonts w:hint="eastAsia" w:ascii="仿宋_GB2312" w:hAnsi="仿宋_GB2312" w:eastAsia="仿宋_GB2312" w:cs="仿宋_GB2312"/>
          <w:sz w:val="32"/>
          <w:szCs w:val="32"/>
          <w:highlight w:val="none"/>
        </w:rPr>
        <w:t>实际开展履职培训，加强走访联谊和恳谈交流，</w:t>
      </w:r>
      <w:r>
        <w:rPr>
          <w:rFonts w:hint="eastAsia" w:ascii="仿宋_GB2312" w:hAnsi="仿宋_GB2312" w:eastAsia="仿宋_GB2312" w:cs="仿宋_GB2312"/>
          <w:sz w:val="32"/>
          <w:szCs w:val="32"/>
          <w:highlight w:val="none"/>
          <w:lang w:eastAsia="zh-CN"/>
        </w:rPr>
        <w:t>凝聚人心、汇聚力量，发挥人民政协统一战线组织功能；把握团结和奋斗的时代要求，积极促进政党关系、民族关系、宗教关系、阶层关系、海内外同胞关系和谐，寻求最大公约数，画出最大同心圆，更好地促进首都发展，把人民政协制度优势转化为国家治理效能。</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3.服务对象满意度</w:t>
      </w:r>
    </w:p>
    <w:p>
      <w:pPr>
        <w:ind w:left="105" w:leftChars="50" w:firstLine="640" w:firstLineChars="200"/>
        <w:rPr>
          <w:rFonts w:hint="eastAsia" w:ascii="仿宋_GB2312" w:eastAsia="仿宋_GB2312"/>
          <w:sz w:val="32"/>
          <w:szCs w:val="32"/>
          <w:highlight w:val="none"/>
        </w:rPr>
      </w:pPr>
      <w:r>
        <w:rPr>
          <w:rFonts w:hint="eastAsia" w:ascii="仿宋_GB2312" w:hAnsi="宋体" w:eastAsia="仿宋_GB2312" w:cs="宋体"/>
          <w:color w:val="000000"/>
          <w:kern w:val="0"/>
          <w:sz w:val="32"/>
          <w:szCs w:val="32"/>
          <w:highlight w:val="none"/>
          <w:lang w:eastAsia="zh-CN"/>
        </w:rPr>
        <w:t>积极搭建各种平台，密切联系各方面人士，发挥界别委员联系群众的作用，围绕中心，服务大局，反映他们及其所联系的群众的意见和要求，各党派、各界别</w:t>
      </w:r>
      <w:r>
        <w:rPr>
          <w:rFonts w:hint="eastAsia" w:ascii="仿宋_GB2312" w:hAnsi="宋体" w:eastAsia="仿宋_GB2312" w:cs="宋体"/>
          <w:color w:val="000000"/>
          <w:kern w:val="0"/>
          <w:sz w:val="32"/>
          <w:szCs w:val="32"/>
          <w:highlight w:val="none"/>
        </w:rPr>
        <w:t>委员等服务对象基本满意，可达到90%以上。</w:t>
      </w:r>
    </w:p>
    <w:p>
      <w:pPr>
        <w:ind w:left="105" w:leftChars="50" w:firstLine="480" w:firstLineChars="150"/>
        <w:outlineLvl w:val="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pPr>
        <w:ind w:left="105" w:leftChars="50" w:firstLine="480" w:firstLineChars="150"/>
        <w:outlineLvl w:val="1"/>
        <w:rPr>
          <w:rFonts w:ascii="楷体_GB2312" w:eastAsia="楷体_GB2312"/>
          <w:sz w:val="32"/>
          <w:szCs w:val="32"/>
          <w:highlight w:val="none"/>
        </w:rPr>
      </w:pPr>
      <w:r>
        <w:rPr>
          <w:rFonts w:hint="eastAsia" w:ascii="楷体_GB2312" w:eastAsia="楷体_GB2312"/>
          <w:sz w:val="32"/>
          <w:szCs w:val="32"/>
          <w:highlight w:val="none"/>
        </w:rPr>
        <w:t>（一）财务管理</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1.财务管理制度健全性</w:t>
      </w:r>
    </w:p>
    <w:p>
      <w:pPr>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color w:val="auto"/>
          <w:kern w:val="2"/>
          <w:sz w:val="32"/>
          <w:szCs w:val="32"/>
          <w:highlight w:val="none"/>
          <w:lang w:val="en-US" w:eastAsia="zh-CN"/>
        </w:rPr>
        <w:t>2022年，市政协机关进一步落实巡视整改工作要求，加强和完善了政协机关涉及经济活动的内部控制制度，提升了机关的内部管理水平和风险防控能力。</w:t>
      </w:r>
      <w:r>
        <w:rPr>
          <w:rFonts w:hint="eastAsia" w:ascii="仿宋_GB2312" w:hAnsi="Times New Roman" w:eastAsia="仿宋_GB2312" w:cs="Times New Roman"/>
          <w:color w:val="auto"/>
          <w:kern w:val="2"/>
          <w:sz w:val="32"/>
          <w:szCs w:val="32"/>
          <w:highlight w:val="none"/>
        </w:rPr>
        <w:t>市政协办公厅</w:t>
      </w:r>
      <w:r>
        <w:rPr>
          <w:rFonts w:hint="eastAsia" w:ascii="仿宋_GB2312" w:hAnsi="Times New Roman" w:eastAsia="仿宋_GB2312" w:cs="Times New Roman"/>
          <w:color w:val="auto"/>
          <w:kern w:val="2"/>
          <w:sz w:val="32"/>
          <w:szCs w:val="32"/>
          <w:highlight w:val="none"/>
          <w:lang w:eastAsia="zh-CN"/>
        </w:rPr>
        <w:t>严格</w:t>
      </w:r>
      <w:r>
        <w:rPr>
          <w:rFonts w:hint="eastAsia" w:ascii="仿宋_GB2312" w:hAnsi="Times New Roman" w:eastAsia="仿宋_GB2312" w:cs="Times New Roman"/>
          <w:color w:val="auto"/>
          <w:kern w:val="2"/>
          <w:sz w:val="32"/>
          <w:szCs w:val="32"/>
          <w:highlight w:val="none"/>
        </w:rPr>
        <w:t>落实</w:t>
      </w:r>
      <w:r>
        <w:rPr>
          <w:rFonts w:hint="eastAsia" w:ascii="仿宋_GB2312" w:hAnsi="Times New Roman" w:eastAsia="仿宋_GB2312" w:cs="Times New Roman"/>
          <w:color w:val="auto"/>
          <w:kern w:val="2"/>
          <w:sz w:val="32"/>
          <w:szCs w:val="32"/>
          <w:highlight w:val="none"/>
          <w:lang w:val="en-US" w:eastAsia="zh-CN"/>
        </w:rPr>
        <w:t>行政事业单位</w:t>
      </w:r>
      <w:r>
        <w:rPr>
          <w:rFonts w:hint="eastAsia" w:ascii="仿宋_GB2312" w:hAnsi="Times New Roman" w:eastAsia="仿宋_GB2312" w:cs="Times New Roman"/>
          <w:color w:val="auto"/>
          <w:kern w:val="2"/>
          <w:sz w:val="32"/>
          <w:szCs w:val="32"/>
          <w:highlight w:val="none"/>
        </w:rPr>
        <w:t>内部控制规范要求，</w:t>
      </w:r>
      <w:r>
        <w:rPr>
          <w:rFonts w:hint="eastAsia" w:ascii="仿宋_GB2312" w:eastAsia="仿宋_GB2312" w:cs="Times New Roman"/>
          <w:kern w:val="2"/>
          <w:sz w:val="32"/>
          <w:szCs w:val="32"/>
          <w:highlight w:val="none"/>
          <w:lang w:eastAsia="zh-CN"/>
        </w:rPr>
        <w:t>在现有</w:t>
      </w:r>
      <w:r>
        <w:rPr>
          <w:rFonts w:hint="eastAsia" w:ascii="仿宋_GB2312" w:hAnsi="Times New Roman" w:eastAsia="仿宋_GB2312" w:cs="Times New Roman"/>
          <w:kern w:val="2"/>
          <w:sz w:val="32"/>
          <w:szCs w:val="32"/>
          <w:highlight w:val="none"/>
        </w:rPr>
        <w:t>对预算收支、政府采购</w:t>
      </w:r>
      <w:r>
        <w:rPr>
          <w:rFonts w:hint="eastAsia" w:ascii="仿宋_GB2312" w:hAnsi="Times New Roman" w:eastAsia="仿宋_GB2312" w:cs="Times New Roman"/>
          <w:kern w:val="2"/>
          <w:sz w:val="32"/>
          <w:szCs w:val="32"/>
          <w:highlight w:val="none"/>
          <w:lang w:eastAsia="zh-CN"/>
        </w:rPr>
        <w:t>、</w:t>
      </w:r>
      <w:r>
        <w:rPr>
          <w:rFonts w:hint="eastAsia" w:ascii="仿宋_GB2312" w:hAnsi="Times New Roman" w:eastAsia="仿宋_GB2312" w:cs="Times New Roman"/>
          <w:kern w:val="2"/>
          <w:sz w:val="32"/>
          <w:szCs w:val="32"/>
          <w:highlight w:val="none"/>
          <w:lang w:val="en-US" w:eastAsia="zh-CN"/>
        </w:rPr>
        <w:t>资产、合同</w:t>
      </w:r>
      <w:r>
        <w:rPr>
          <w:rFonts w:hint="eastAsia" w:ascii="仿宋_GB2312" w:hAnsi="Times New Roman" w:eastAsia="仿宋_GB2312" w:cs="Times New Roman"/>
          <w:kern w:val="2"/>
          <w:sz w:val="32"/>
          <w:szCs w:val="32"/>
          <w:highlight w:val="none"/>
        </w:rPr>
        <w:t>等</w:t>
      </w:r>
      <w:r>
        <w:rPr>
          <w:rFonts w:hint="eastAsia" w:ascii="仿宋_GB2312" w:eastAsia="仿宋_GB2312" w:cs="Times New Roman"/>
          <w:kern w:val="2"/>
          <w:sz w:val="32"/>
          <w:szCs w:val="32"/>
          <w:highlight w:val="none"/>
          <w:lang w:eastAsia="zh-CN"/>
        </w:rPr>
        <w:t>管理制度基础上，</w:t>
      </w:r>
      <w:r>
        <w:rPr>
          <w:rFonts w:hint="eastAsia" w:ascii="仿宋_GB2312" w:hAnsi="Times New Roman" w:eastAsia="仿宋_GB2312" w:cs="Times New Roman"/>
          <w:color w:val="auto"/>
          <w:kern w:val="2"/>
          <w:sz w:val="32"/>
          <w:szCs w:val="32"/>
          <w:highlight w:val="none"/>
          <w:lang w:eastAsia="zh-CN"/>
        </w:rPr>
        <w:t>结合履职工作实际，</w:t>
      </w:r>
      <w:r>
        <w:rPr>
          <w:rFonts w:hint="eastAsia" w:ascii="仿宋_GB2312" w:eastAsia="仿宋_GB2312" w:cs="Times New Roman"/>
          <w:kern w:val="2"/>
          <w:sz w:val="32"/>
          <w:szCs w:val="32"/>
          <w:highlight w:val="none"/>
          <w:lang w:val="en-US" w:eastAsia="zh-CN"/>
        </w:rPr>
        <w:t>2022年新</w:t>
      </w:r>
      <w:r>
        <w:rPr>
          <w:rFonts w:hint="eastAsia" w:ascii="仿宋_GB2312" w:hAnsi="Times New Roman" w:eastAsia="仿宋_GB2312" w:cs="Times New Roman"/>
          <w:sz w:val="32"/>
          <w:szCs w:val="32"/>
          <w:highlight w:val="none"/>
        </w:rPr>
        <w:t>制订</w:t>
      </w:r>
      <w:r>
        <w:rPr>
          <w:rFonts w:hint="eastAsia" w:ascii="仿宋_GB2312" w:hAnsi="Times New Roman" w:eastAsia="仿宋_GB2312" w:cs="Times New Roman"/>
          <w:sz w:val="32"/>
          <w:szCs w:val="32"/>
          <w:highlight w:val="none"/>
          <w:lang w:eastAsia="zh-CN"/>
        </w:rPr>
        <w:t>印发《市政协机关培训费支出管理办法》《</w:t>
      </w:r>
      <w:r>
        <w:rPr>
          <w:rFonts w:hint="eastAsia" w:ascii="仿宋_GB2312" w:hAnsi="Times New Roman" w:eastAsia="仿宋_GB2312" w:cs="Times New Roman"/>
          <w:sz w:val="32"/>
          <w:szCs w:val="32"/>
          <w:highlight w:val="none"/>
        </w:rPr>
        <w:t>市政协机关内审工作管理办法</w:t>
      </w:r>
      <w:r>
        <w:rPr>
          <w:rFonts w:hint="eastAsia" w:ascii="仿宋_GB2312" w:hAnsi="Times New Roman" w:eastAsia="仿宋_GB2312" w:cs="Times New Roman"/>
          <w:sz w:val="32"/>
          <w:szCs w:val="32"/>
          <w:highlight w:val="none"/>
          <w:lang w:eastAsia="zh-CN"/>
        </w:rPr>
        <w:t>》《市政协机关购买服务预算管理办法》《市政协机关政府购买服务指导性目录和负面清单》</w:t>
      </w:r>
      <w:r>
        <w:rPr>
          <w:rFonts w:hint="eastAsia" w:ascii="仿宋_GB2312" w:hAnsi="Times New Roman" w:eastAsia="仿宋_GB2312" w:cs="Times New Roman"/>
          <w:sz w:val="32"/>
          <w:szCs w:val="32"/>
          <w:highlight w:val="none"/>
        </w:rPr>
        <w:t>等</w:t>
      </w:r>
      <w:r>
        <w:rPr>
          <w:rFonts w:hint="eastAsia" w:ascii="仿宋_GB2312" w:hAnsi="Times New Roman" w:eastAsia="仿宋_GB2312" w:cs="Times New Roman"/>
          <w:sz w:val="32"/>
          <w:szCs w:val="32"/>
          <w:highlight w:val="none"/>
          <w:lang w:val="en-US" w:eastAsia="zh-CN"/>
        </w:rPr>
        <w:t>5项</w:t>
      </w:r>
      <w:r>
        <w:rPr>
          <w:rFonts w:hint="eastAsia" w:ascii="仿宋_GB2312" w:hAnsi="Times New Roman" w:eastAsia="仿宋_GB2312" w:cs="Times New Roman"/>
          <w:sz w:val="32"/>
          <w:szCs w:val="32"/>
          <w:highlight w:val="none"/>
        </w:rPr>
        <w:t>制度</w:t>
      </w:r>
      <w:r>
        <w:rPr>
          <w:rFonts w:hint="eastAsia" w:ascii="仿宋_GB2312" w:hAnsi="Times New Roman" w:eastAsia="仿宋_GB2312" w:cs="Times New Roman"/>
          <w:sz w:val="32"/>
          <w:szCs w:val="32"/>
          <w:highlight w:val="none"/>
          <w:lang w:eastAsia="zh-CN"/>
        </w:rPr>
        <w:t>，规范了在机关食堂用餐</w:t>
      </w:r>
      <w:r>
        <w:rPr>
          <w:rFonts w:hint="eastAsia" w:ascii="仿宋_GB2312" w:eastAsia="仿宋_GB2312" w:cs="Times New Roman"/>
          <w:sz w:val="32"/>
          <w:szCs w:val="32"/>
          <w:highlight w:val="none"/>
          <w:lang w:eastAsia="zh-CN"/>
        </w:rPr>
        <w:t>的</w:t>
      </w:r>
      <w:r>
        <w:rPr>
          <w:rFonts w:hint="eastAsia" w:ascii="仿宋_GB2312" w:hAnsi="Times New Roman" w:eastAsia="仿宋_GB2312" w:cs="Times New Roman"/>
          <w:sz w:val="32"/>
          <w:szCs w:val="32"/>
          <w:highlight w:val="none"/>
          <w:lang w:eastAsia="zh-CN"/>
        </w:rPr>
        <w:t>结算</w:t>
      </w:r>
      <w:r>
        <w:rPr>
          <w:rFonts w:hint="eastAsia" w:ascii="仿宋_GB2312" w:eastAsia="仿宋_GB2312" w:cs="Times New Roman"/>
          <w:sz w:val="32"/>
          <w:szCs w:val="32"/>
          <w:highlight w:val="none"/>
          <w:lang w:eastAsia="zh-CN"/>
        </w:rPr>
        <w:t>管理工作及相关支出流程，使机关的内控制度体系得到了进一步完善</w:t>
      </w:r>
      <w:r>
        <w:rPr>
          <w:rFonts w:hint="eastAsia" w:ascii="仿宋_GB2312" w:hAnsi="Times New Roman" w:eastAsia="仿宋_GB2312" w:cs="Times New Roman"/>
          <w:sz w:val="32"/>
          <w:szCs w:val="32"/>
          <w:highlight w:val="none"/>
          <w:lang w:eastAsia="zh-CN"/>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2.资金使用合规性和安全性</w:t>
      </w:r>
    </w:p>
    <w:p>
      <w:pPr>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严格执行财政</w:t>
      </w:r>
      <w:r>
        <w:rPr>
          <w:rFonts w:hint="eastAsia" w:ascii="仿宋_GB2312" w:hAnsi="宋体" w:eastAsia="仿宋_GB2312" w:cs="宋体"/>
          <w:color w:val="000000"/>
          <w:kern w:val="0"/>
          <w:sz w:val="32"/>
          <w:szCs w:val="32"/>
          <w:highlight w:val="none"/>
          <w:lang w:eastAsia="zh-CN"/>
        </w:rPr>
        <w:t>预算管理相关规定</w:t>
      </w:r>
      <w:r>
        <w:rPr>
          <w:rFonts w:hint="eastAsia" w:ascii="仿宋_GB2312" w:hAnsi="宋体" w:eastAsia="仿宋_GB2312" w:cs="宋体"/>
          <w:color w:val="000000"/>
          <w:kern w:val="0"/>
          <w:sz w:val="32"/>
          <w:szCs w:val="32"/>
          <w:highlight w:val="none"/>
        </w:rPr>
        <w:t>，以预算一体化改革为重点，落实部门预算编制要求，加强项目预算评审，合理测算预算需求，提高了预算编制的准确性。严格落实政府过“紧日子”要求，严格执行</w:t>
      </w:r>
      <w:r>
        <w:rPr>
          <w:rFonts w:hint="eastAsia" w:ascii="仿宋_GB2312" w:hAnsi="宋体" w:eastAsia="仿宋_GB2312" w:cs="宋体"/>
          <w:color w:val="000000"/>
          <w:kern w:val="0"/>
          <w:sz w:val="32"/>
          <w:szCs w:val="32"/>
          <w:highlight w:val="none"/>
          <w:lang w:eastAsia="zh-CN"/>
        </w:rPr>
        <w:t>各项经费</w:t>
      </w:r>
      <w:r>
        <w:rPr>
          <w:rFonts w:hint="eastAsia" w:ascii="仿宋_GB2312" w:hAnsi="宋体" w:eastAsia="仿宋_GB2312" w:cs="宋体"/>
          <w:color w:val="000000"/>
          <w:kern w:val="0"/>
          <w:sz w:val="32"/>
          <w:szCs w:val="32"/>
          <w:highlight w:val="none"/>
        </w:rPr>
        <w:t>支出标准，</w:t>
      </w:r>
      <w:r>
        <w:rPr>
          <w:rFonts w:hint="eastAsia" w:ascii="仿宋_GB2312" w:hAnsi="宋体" w:eastAsia="仿宋_GB2312" w:cs="宋体"/>
          <w:color w:val="000000"/>
          <w:kern w:val="0"/>
          <w:sz w:val="32"/>
          <w:szCs w:val="32"/>
          <w:highlight w:val="none"/>
          <w:lang w:eastAsia="zh-CN"/>
        </w:rPr>
        <w:t>落实资金支出的主体责任，</w:t>
      </w:r>
      <w:r>
        <w:rPr>
          <w:rFonts w:hint="eastAsia" w:ascii="仿宋_GB2312" w:hAnsi="楷体" w:eastAsia="仿宋_GB2312"/>
          <w:bCs/>
          <w:kern w:val="0"/>
          <w:sz w:val="32"/>
          <w:szCs w:val="32"/>
          <w:highlight w:val="none"/>
          <w:lang w:eastAsia="zh-CN"/>
        </w:rPr>
        <w:t>重大项目支出经过机关党组会议集体审议，其他支出规范</w:t>
      </w:r>
      <w:r>
        <w:rPr>
          <w:rFonts w:hint="eastAsia" w:ascii="仿宋_GB2312" w:hAnsi="楷体" w:eastAsia="仿宋_GB2312"/>
          <w:bCs/>
          <w:kern w:val="0"/>
          <w:sz w:val="32"/>
          <w:szCs w:val="32"/>
          <w:highlight w:val="none"/>
        </w:rPr>
        <w:t>履行内部审批程序，</w:t>
      </w:r>
      <w:r>
        <w:rPr>
          <w:rFonts w:hint="eastAsia" w:ascii="仿宋_GB2312" w:hAnsi="楷体" w:eastAsia="仿宋_GB2312"/>
          <w:bCs/>
          <w:kern w:val="0"/>
          <w:sz w:val="32"/>
          <w:szCs w:val="32"/>
          <w:highlight w:val="none"/>
          <w:lang w:eastAsia="zh-CN"/>
        </w:rPr>
        <w:t>不存在截留、挤占、挪用、虚列支出等情况，</w:t>
      </w:r>
      <w:r>
        <w:rPr>
          <w:rFonts w:hint="eastAsia" w:ascii="仿宋_GB2312" w:hAnsi="宋体" w:eastAsia="仿宋_GB2312" w:cs="宋体"/>
          <w:color w:val="000000"/>
          <w:kern w:val="0"/>
          <w:sz w:val="32"/>
          <w:szCs w:val="32"/>
          <w:highlight w:val="none"/>
        </w:rPr>
        <w:t>全面规范完成了财务保障工作</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发挥了财政</w:t>
      </w:r>
      <w:r>
        <w:rPr>
          <w:rFonts w:hint="eastAsia" w:ascii="仿宋_GB2312" w:hAnsi="宋体" w:eastAsia="仿宋_GB2312" w:cs="宋体"/>
          <w:color w:val="000000"/>
          <w:kern w:val="0"/>
          <w:sz w:val="32"/>
          <w:szCs w:val="32"/>
          <w:highlight w:val="none"/>
        </w:rPr>
        <w:t>资金</w:t>
      </w:r>
      <w:r>
        <w:rPr>
          <w:rFonts w:hint="eastAsia" w:ascii="仿宋_GB2312" w:hAnsi="宋体" w:eastAsia="仿宋_GB2312" w:cs="宋体"/>
          <w:color w:val="000000"/>
          <w:kern w:val="0"/>
          <w:sz w:val="32"/>
          <w:szCs w:val="32"/>
          <w:highlight w:val="none"/>
          <w:lang w:val="en-US" w:eastAsia="zh-CN"/>
        </w:rPr>
        <w:t>使用</w:t>
      </w:r>
      <w:r>
        <w:rPr>
          <w:rFonts w:hint="eastAsia" w:ascii="仿宋_GB2312" w:hAnsi="宋体" w:eastAsia="仿宋_GB2312" w:cs="宋体"/>
          <w:color w:val="000000"/>
          <w:kern w:val="0"/>
          <w:sz w:val="32"/>
          <w:szCs w:val="32"/>
          <w:highlight w:val="none"/>
        </w:rPr>
        <w:t>效益</w:t>
      </w:r>
      <w:r>
        <w:rPr>
          <w:rFonts w:hint="eastAsia" w:ascii="仿宋_GB2312" w:hAnsi="宋体" w:eastAsia="仿宋_GB2312" w:cs="宋体"/>
          <w:color w:val="000000"/>
          <w:kern w:val="0"/>
          <w:sz w:val="32"/>
          <w:szCs w:val="32"/>
          <w:highlight w:val="none"/>
          <w:lang w:eastAsia="zh-CN"/>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3.会计基础信息完善性</w:t>
      </w:r>
    </w:p>
    <w:p>
      <w:pPr>
        <w:ind w:left="105" w:leftChars="50"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市政协办公厅</w:t>
      </w:r>
      <w:r>
        <w:rPr>
          <w:rFonts w:hint="eastAsia" w:ascii="仿宋_GB2312" w:hAnsi="宋体" w:eastAsia="仿宋_GB2312" w:cs="宋体"/>
          <w:color w:val="000000"/>
          <w:kern w:val="0"/>
          <w:sz w:val="32"/>
          <w:szCs w:val="32"/>
          <w:highlight w:val="none"/>
          <w:lang w:eastAsia="zh-CN"/>
        </w:rPr>
        <w:t>高度重视会计基础工作，严格执行</w:t>
      </w:r>
      <w:r>
        <w:rPr>
          <w:rFonts w:hint="eastAsia" w:ascii="仿宋_GB2312" w:hAnsi="宋体" w:eastAsia="仿宋_GB2312" w:cs="宋体"/>
          <w:color w:val="000000"/>
          <w:kern w:val="0"/>
          <w:sz w:val="32"/>
          <w:szCs w:val="32"/>
          <w:highlight w:val="none"/>
        </w:rPr>
        <w:t>政府会计制度和《财政部关于贯彻实施政府会计准则制度的通知》相关要求</w:t>
      </w:r>
      <w:r>
        <w:rPr>
          <w:rFonts w:hint="eastAsia" w:ascii="仿宋_GB2312" w:hAnsi="宋体" w:eastAsia="仿宋_GB2312" w:cs="宋体"/>
          <w:color w:val="000000"/>
          <w:kern w:val="0"/>
          <w:sz w:val="32"/>
          <w:szCs w:val="32"/>
          <w:highlight w:val="none"/>
          <w:lang w:eastAsia="zh-CN"/>
        </w:rPr>
        <w:t>，规范设置账套进行独立核算，规范编制和整理会计资料、原始凭证、财务报告等档案资料；</w:t>
      </w:r>
      <w:r>
        <w:rPr>
          <w:rFonts w:hint="eastAsia" w:ascii="仿宋_GB2312" w:hAnsi="宋体" w:eastAsia="仿宋_GB2312" w:cs="宋体"/>
          <w:color w:val="000000"/>
          <w:kern w:val="0"/>
          <w:sz w:val="32"/>
          <w:szCs w:val="32"/>
          <w:highlight w:val="none"/>
        </w:rPr>
        <w:t>注重财务、采购、管理等各类知识的学习与培训，积极参加预算、决算、财务报告等网上培训，保证了预决算及日常会计核算的规范性</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会计基础数据信息和会计信息资料真实、完整、准确</w:t>
      </w:r>
      <w:r>
        <w:rPr>
          <w:rFonts w:hint="eastAsia" w:ascii="仿宋_GB2312" w:hAnsi="宋体" w:eastAsia="仿宋_GB2312" w:cs="宋体"/>
          <w:color w:val="000000"/>
          <w:kern w:val="0"/>
          <w:sz w:val="32"/>
          <w:szCs w:val="32"/>
          <w:highlight w:val="none"/>
          <w:lang w:eastAsia="zh-CN"/>
        </w:rPr>
        <w:t>。</w:t>
      </w:r>
    </w:p>
    <w:p>
      <w:pPr>
        <w:ind w:left="105" w:leftChars="50" w:firstLine="480" w:firstLineChars="150"/>
        <w:outlineLvl w:val="1"/>
        <w:rPr>
          <w:rFonts w:ascii="楷体_GB2312" w:eastAsia="楷体_GB2312"/>
          <w:sz w:val="32"/>
          <w:szCs w:val="32"/>
          <w:highlight w:val="none"/>
        </w:rPr>
      </w:pPr>
      <w:r>
        <w:rPr>
          <w:rFonts w:hint="eastAsia" w:ascii="楷体_GB2312" w:eastAsia="楷体_GB2312"/>
          <w:sz w:val="32"/>
          <w:szCs w:val="32"/>
          <w:highlight w:val="none"/>
        </w:rPr>
        <w:t>（二）资产管理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按照中央有关资产领域专项整治行动工作要求，以巡视整改工作为契机，积极推进市政协机关资产管理工作，进一步强化资产管理的主体责任，强化各项制度的约束意识，积极查找问题，认真剖析原因，规范工作流程，进一步筑牢资产管理基础工作。</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202</w:t>
      </w:r>
      <w:r>
        <w:rPr>
          <w:rFonts w:hint="eastAsia" w:ascii="仿宋_GB2312" w:eastAsia="仿宋_GB2312" w:hAnsi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olor w:val="000000" w:themeColor="text1"/>
          <w:sz w:val="32"/>
          <w:szCs w:val="32"/>
          <w14:textFill>
            <w14:solidFill>
              <w14:schemeClr w14:val="tx1"/>
            </w14:solidFill>
          </w14:textFill>
        </w:rPr>
        <w:t xml:space="preserve"> 年度，市政协机关新增资产</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万元，其中：新增固定资产</w:t>
      </w:r>
      <w:r>
        <w:rPr>
          <w:rFonts w:hint="eastAsia" w:ascii="仿宋_GB2312" w:hAnsi="仿宋_GB2312" w:eastAsia="仿宋_GB2312" w:cs="仿宋_GB2312"/>
          <w:color w:val="000000" w:themeColor="text1"/>
          <w:sz w:val="32"/>
          <w:szCs w:val="32"/>
          <w14:textFill>
            <w14:solidFill>
              <w14:schemeClr w14:val="tx1"/>
            </w14:solidFill>
          </w14:textFill>
        </w:rPr>
        <w:t>1,108.65</w:t>
      </w:r>
      <w:r>
        <w:rPr>
          <w:rFonts w:hint="eastAsia" w:ascii="仿宋_GB2312" w:eastAsia="仿宋_GB2312" w:hAnsiTheme="minorEastAsia"/>
          <w:color w:val="000000" w:themeColor="text1"/>
          <w:sz w:val="32"/>
          <w:szCs w:val="32"/>
          <w14:textFill>
            <w14:solidFill>
              <w14:schemeClr w14:val="tx1"/>
            </w14:solidFill>
          </w14:textFill>
        </w:rPr>
        <w:t>万元；新增无形资产</w:t>
      </w:r>
      <w:r>
        <w:rPr>
          <w:rFonts w:hint="eastAsia" w:ascii="仿宋_GB2312" w:hAnsi="仿宋_GB2312" w:eastAsia="仿宋_GB2312" w:cs="仿宋_GB2312"/>
          <w:color w:val="000000" w:themeColor="text1"/>
          <w:sz w:val="32"/>
          <w:szCs w:val="32"/>
          <w14:textFill>
            <w14:solidFill>
              <w14:schemeClr w14:val="tx1"/>
            </w14:solidFill>
          </w14:textFill>
        </w:rPr>
        <w:t>1,794.29</w:t>
      </w:r>
      <w:r>
        <w:rPr>
          <w:rFonts w:hint="eastAsia" w:ascii="仿宋_GB2312" w:eastAsia="仿宋_GB2312" w:hAnsiTheme="minorEastAsia"/>
          <w:color w:val="000000" w:themeColor="text1"/>
          <w:sz w:val="32"/>
          <w:szCs w:val="32"/>
          <w14:textFill>
            <w14:solidFill>
              <w14:schemeClr w14:val="tx1"/>
            </w14:solidFill>
          </w14:textFill>
        </w:rPr>
        <w:t xml:space="preserve">万元。 </w:t>
      </w:r>
      <w:r>
        <w:rPr>
          <w:rFonts w:hint="eastAsia" w:ascii="仿宋_GB2312" w:eastAsia="仿宋_GB2312" w:hAnsiTheme="minorEastAsia"/>
          <w:color w:val="000000" w:themeColor="text1"/>
          <w:sz w:val="32"/>
          <w:szCs w:val="32"/>
          <w:lang w:val="en-US" w:eastAsia="zh-CN"/>
          <w14:textFill>
            <w14:solidFill>
              <w14:schemeClr w14:val="tx1"/>
            </w14:solidFill>
          </w14:textFill>
        </w:rPr>
        <w:t>处置固定资产2694.79万元，其中：无偿调拨处置资产2671.259万元，全部为车辆资产，</w:t>
      </w:r>
      <w:r>
        <w:rPr>
          <w:rFonts w:hint="eastAsia" w:ascii="仿宋_GB2312" w:eastAsia="仿宋_GB2312" w:hAnsiTheme="minorEastAsia"/>
          <w:color w:val="000000" w:themeColor="text1"/>
          <w:sz w:val="32"/>
          <w:szCs w:val="32"/>
          <w:lang w:eastAsia="zh-CN"/>
          <w14:textFill>
            <w14:solidFill>
              <w14:schemeClr w14:val="tx1"/>
            </w14:solidFill>
          </w14:textFill>
        </w:rPr>
        <w:t>主要是</w:t>
      </w:r>
      <w:r>
        <w:rPr>
          <w:rFonts w:hint="eastAsia" w:ascii="仿宋_GB2312" w:eastAsia="仿宋_GB2312" w:hAnsiTheme="minorEastAsia"/>
          <w:color w:val="000000" w:themeColor="text1"/>
          <w:sz w:val="32"/>
          <w:szCs w:val="32"/>
          <w14:textFill>
            <w14:solidFill>
              <w14:schemeClr w14:val="tx1"/>
            </w14:solidFill>
          </w14:textFill>
        </w:rPr>
        <w:t>按照机关后勤事务统一管理要求，</w:t>
      </w:r>
      <w:r>
        <w:rPr>
          <w:rFonts w:hint="eastAsia" w:ascii="仿宋_GB2312" w:eastAsia="仿宋_GB2312" w:hAnsiTheme="minorEastAsia"/>
          <w:color w:val="000000" w:themeColor="text1"/>
          <w:sz w:val="32"/>
          <w:szCs w:val="32"/>
          <w:lang w:eastAsia="zh-CN"/>
          <w14:textFill>
            <w14:solidFill>
              <w14:schemeClr w14:val="tx1"/>
            </w14:solidFill>
          </w14:textFill>
        </w:rPr>
        <w:t>将</w:t>
      </w:r>
      <w:r>
        <w:rPr>
          <w:rFonts w:hint="eastAsia" w:ascii="仿宋_GB2312" w:eastAsia="仿宋_GB2312" w:hAnsiTheme="minorEastAsia"/>
          <w:color w:val="000000" w:themeColor="text1"/>
          <w:sz w:val="32"/>
          <w:szCs w:val="32"/>
          <w14:textFill>
            <w14:solidFill>
              <w14:schemeClr w14:val="tx1"/>
            </w14:solidFill>
          </w14:textFill>
        </w:rPr>
        <w:t>市政协</w:t>
      </w:r>
      <w:r>
        <w:rPr>
          <w:rFonts w:hint="eastAsia" w:ascii="仿宋_GB2312" w:eastAsia="仿宋_GB2312" w:hAnsiTheme="minorEastAsia"/>
          <w:color w:val="000000" w:themeColor="text1"/>
          <w:sz w:val="32"/>
          <w:szCs w:val="32"/>
          <w:lang w:eastAsia="zh-CN"/>
          <w14:textFill>
            <w14:solidFill>
              <w14:schemeClr w14:val="tx1"/>
            </w14:solidFill>
          </w14:textFill>
        </w:rPr>
        <w:t>机关</w:t>
      </w:r>
      <w:r>
        <w:rPr>
          <w:rFonts w:hint="eastAsia" w:ascii="仿宋_GB2312" w:eastAsia="仿宋_GB2312" w:hAnsiTheme="minorEastAsia"/>
          <w:color w:val="000000" w:themeColor="text1"/>
          <w:sz w:val="32"/>
          <w:szCs w:val="32"/>
          <w14:textFill>
            <w14:solidFill>
              <w14:schemeClr w14:val="tx1"/>
            </w14:solidFill>
          </w14:textFill>
        </w:rPr>
        <w:t>103辆公务车</w:t>
      </w:r>
      <w:r>
        <w:rPr>
          <w:rFonts w:hint="eastAsia" w:ascii="仿宋_GB2312" w:eastAsia="仿宋_GB2312" w:hAnsiTheme="minorEastAsia"/>
          <w:color w:val="000000" w:themeColor="text1"/>
          <w:sz w:val="32"/>
          <w:szCs w:val="32"/>
          <w:lang w:eastAsia="zh-CN"/>
          <w14:textFill>
            <w14:solidFill>
              <w14:schemeClr w14:val="tx1"/>
            </w14:solidFill>
          </w14:textFill>
        </w:rPr>
        <w:t>全部调拨</w:t>
      </w:r>
      <w:r>
        <w:rPr>
          <w:rFonts w:hint="eastAsia" w:ascii="仿宋_GB2312" w:eastAsia="仿宋_GB2312" w:hAnsiTheme="minorEastAsia"/>
          <w:color w:val="000000" w:themeColor="text1"/>
          <w:sz w:val="32"/>
          <w:szCs w:val="32"/>
          <w14:textFill>
            <w14:solidFill>
              <w14:schemeClr w14:val="tx1"/>
            </w14:solidFill>
          </w14:textFill>
        </w:rPr>
        <w:t>市机关事务管理局统一</w:t>
      </w:r>
      <w:r>
        <w:rPr>
          <w:rFonts w:hint="eastAsia" w:ascii="仿宋_GB2312" w:eastAsia="仿宋_GB2312" w:hAnsiTheme="minorEastAsia"/>
          <w:color w:val="000000" w:themeColor="text1"/>
          <w:sz w:val="32"/>
          <w:szCs w:val="32"/>
          <w:lang w:eastAsia="zh-CN"/>
          <w14:textFill>
            <w14:solidFill>
              <w14:schemeClr w14:val="tx1"/>
            </w14:solidFill>
          </w14:textFill>
        </w:rPr>
        <w:t>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hAnsiTheme="minorEastAsia"/>
          <w:color w:val="000000" w:themeColor="text1"/>
          <w:sz w:val="32"/>
          <w:szCs w:val="32"/>
          <w:lang w:val="en-US" w:eastAsia="zh-CN"/>
          <w14:textFill>
            <w14:solidFill>
              <w14:schemeClr w14:val="tx1"/>
            </w14:solidFill>
          </w14:textFill>
        </w:rPr>
        <w:t>2022年在资产管理方面：</w:t>
      </w:r>
      <w:r>
        <w:rPr>
          <w:rFonts w:hint="eastAsia" w:ascii="仿宋_GB2312" w:eastAsia="仿宋_GB2312" w:hAnsiTheme="minorEastAsia"/>
          <w:color w:val="000000" w:themeColor="text1"/>
          <w:sz w:val="32"/>
          <w:szCs w:val="32"/>
          <w:lang w:eastAsia="zh-CN"/>
          <w14:textFill>
            <w14:solidFill>
              <w14:schemeClr w14:val="tx1"/>
            </w14:solidFill>
          </w14:textFill>
        </w:rPr>
        <w:t>一是进一步</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加强了资产购置预算的源头控制。从部门预算编审入手,坚持在盘活存量的基础上，做好内部调剂安排，确实无法调剂的再安排预算购置新增资产。</w:t>
      </w:r>
      <w:r>
        <w:rPr>
          <w:rFonts w:hint="eastAsia" w:ascii="仿宋_GB2312" w:eastAsia="仿宋_GB2312"/>
          <w:color w:val="000000" w:themeColor="text1"/>
          <w:sz w:val="32"/>
          <w:szCs w:val="32"/>
          <w:lang w:eastAsia="zh-CN"/>
          <w14:textFill>
            <w14:solidFill>
              <w14:schemeClr w14:val="tx1"/>
            </w14:solidFill>
          </w14:textFill>
        </w:rPr>
        <w:t>二是进一步梳理</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资产管理信息系统的资产数据。资产管理信息系统不仅是编制资产购置项目的基础，也是反映资产现状的依据，是做好资产管理工作的信息化支撑，2022年对资产管理信息系统的各项数据分门别类进行了梳理分析，确保各项数据真实准确，为不断优化资产配置提供支撑。三是进一步做好</w:t>
      </w:r>
      <w:r>
        <w:rPr>
          <w:rFonts w:hint="eastAsia" w:ascii="仿宋_GB2312" w:eastAsia="仿宋_GB2312"/>
          <w:color w:val="000000" w:themeColor="text1"/>
          <w:sz w:val="32"/>
          <w:szCs w:val="32"/>
          <w14:textFill>
            <w14:solidFill>
              <w14:schemeClr w14:val="tx1"/>
            </w14:solidFill>
          </w14:textFill>
        </w:rPr>
        <w:t>批量资产替换</w:t>
      </w:r>
      <w:r>
        <w:rPr>
          <w:rFonts w:hint="eastAsia" w:ascii="仿宋_GB2312" w:eastAsia="仿宋_GB2312"/>
          <w:color w:val="000000" w:themeColor="text1"/>
          <w:sz w:val="32"/>
          <w:szCs w:val="32"/>
          <w:lang w:eastAsia="zh-CN"/>
          <w14:textFill>
            <w14:solidFill>
              <w14:schemeClr w14:val="tx1"/>
            </w14:solidFill>
          </w14:textFill>
        </w:rPr>
        <w:t>的统筹</w:t>
      </w:r>
      <w:r>
        <w:rPr>
          <w:rFonts w:hint="eastAsia" w:ascii="仿宋_GB2312" w:eastAsia="仿宋_GB2312"/>
          <w:color w:val="000000" w:themeColor="text1"/>
          <w:sz w:val="32"/>
          <w:szCs w:val="32"/>
          <w14:textFill>
            <w14:solidFill>
              <w14:schemeClr w14:val="tx1"/>
            </w14:solidFill>
          </w14:textFill>
        </w:rPr>
        <w:t>管理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2022年全部完成了市政协机关安可设备的替换工作。</w:t>
      </w:r>
      <w:r>
        <w:rPr>
          <w:rFonts w:hint="eastAsia" w:ascii="仿宋_GB2312" w:eastAsia="仿宋_GB2312"/>
          <w:color w:val="000000" w:themeColor="text1"/>
          <w:sz w:val="32"/>
          <w:szCs w:val="32"/>
          <w:lang w:eastAsia="zh-CN"/>
          <w14:textFill>
            <w14:solidFill>
              <w14:schemeClr w14:val="tx1"/>
            </w14:solidFill>
          </w14:textFill>
        </w:rPr>
        <w:t>依据项目决算审计结果，完成了</w:t>
      </w:r>
      <w:r>
        <w:rPr>
          <w:rFonts w:hint="eastAsia" w:ascii="仿宋_GB2312" w:eastAsia="仿宋_GB2312"/>
          <w:color w:val="000000" w:themeColor="text1"/>
          <w:sz w:val="32"/>
          <w:szCs w:val="32"/>
          <w:lang w:val="en-US" w:eastAsia="zh-CN"/>
          <w14:textFill>
            <w14:solidFill>
              <w14:schemeClr w14:val="tx1"/>
            </w14:solidFill>
          </w14:textFill>
        </w:rPr>
        <w:t>4749件，价值2245.47万元资产的登记管理工作，全部粘贴了资产标识，落实到部门，落实到人，实行了清单式管理。对替换下来的设备，进行了分类归纳整理，将按照要求统一办理报废和移交工作。</w:t>
      </w:r>
    </w:p>
    <w:p>
      <w:pPr>
        <w:ind w:left="105" w:leftChars="50" w:firstLine="480" w:firstLineChars="150"/>
        <w:outlineLvl w:val="1"/>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napToGrid/>
        <w:spacing w:line="24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2022年按照全面实施预算绩效管理要求，</w:t>
      </w:r>
      <w:r>
        <w:rPr>
          <w:rFonts w:hint="eastAsia" w:ascii="仿宋_GB2312" w:hAnsi="宋体" w:eastAsia="仿宋_GB2312" w:cs="宋体"/>
          <w:color w:val="000000"/>
          <w:kern w:val="0"/>
          <w:sz w:val="32"/>
          <w:szCs w:val="32"/>
          <w:lang w:eastAsia="zh-CN"/>
        </w:rPr>
        <w:t>严格落实</w:t>
      </w:r>
      <w:r>
        <w:rPr>
          <w:rFonts w:hint="eastAsia" w:ascii="仿宋_GB2312" w:hAnsi="楷体" w:eastAsia="仿宋_GB2312"/>
          <w:bCs/>
          <w:kern w:val="0"/>
          <w:sz w:val="32"/>
          <w:szCs w:val="28"/>
        </w:rPr>
        <w:t>市财政局关于</w:t>
      </w:r>
      <w:r>
        <w:rPr>
          <w:rFonts w:hint="eastAsia" w:ascii="仿宋_GB2312" w:hAnsi="宋体" w:eastAsia="仿宋_GB2312" w:cs="宋体"/>
          <w:color w:val="000000"/>
          <w:kern w:val="0"/>
          <w:sz w:val="32"/>
          <w:szCs w:val="32"/>
        </w:rPr>
        <w:t>“预算编制有目标、预算执行有监控、预算完成有评价、评价结果有反馈、反馈结果有应用”的预算绩效管理要求，</w:t>
      </w:r>
      <w:r>
        <w:rPr>
          <w:rFonts w:hint="eastAsia" w:ascii="仿宋_GB2312" w:hAnsi="宋体" w:eastAsia="仿宋_GB2312" w:cs="宋体"/>
          <w:color w:val="000000"/>
          <w:kern w:val="0"/>
          <w:sz w:val="32"/>
          <w:szCs w:val="32"/>
          <w:lang w:eastAsia="zh-CN"/>
        </w:rPr>
        <w:t>扎实</w:t>
      </w:r>
      <w:r>
        <w:rPr>
          <w:rFonts w:hint="eastAsia" w:ascii="仿宋_GB2312" w:hAnsi="宋体" w:eastAsia="仿宋_GB2312" w:cs="宋体"/>
          <w:color w:val="000000"/>
          <w:kern w:val="0"/>
          <w:sz w:val="32"/>
          <w:szCs w:val="32"/>
        </w:rPr>
        <w:t>开展预算绩效目标填报、预算绩效</w:t>
      </w:r>
      <w:r>
        <w:rPr>
          <w:rFonts w:hint="eastAsia" w:ascii="仿宋_GB2312" w:hAnsi="黑体" w:eastAsia="仿宋_GB2312" w:cs="Times New Roman"/>
          <w:bCs/>
          <w:color w:val="auto"/>
          <w:kern w:val="2"/>
          <w:sz w:val="32"/>
          <w:szCs w:val="32"/>
        </w:rPr>
        <w:t>监控、预算绩效评价等工作。</w:t>
      </w:r>
      <w:r>
        <w:rPr>
          <w:rFonts w:hint="eastAsia" w:ascii="仿宋_GB2312" w:hAnsi="宋体" w:eastAsia="仿宋_GB2312" w:cs="宋体"/>
          <w:color w:val="000000"/>
          <w:kern w:val="0"/>
          <w:sz w:val="32"/>
          <w:szCs w:val="32"/>
        </w:rPr>
        <w:t>结合市政协的履职特点和预算支出规律，深入推进预算和绩效管理一体化工作。</w:t>
      </w:r>
      <w:r>
        <w:rPr>
          <w:rFonts w:hint="eastAsia" w:ascii="仿宋_GB2312" w:hAnsi="宋体" w:eastAsia="仿宋_GB2312" w:cs="宋体"/>
          <w:color w:val="000000"/>
          <w:kern w:val="0"/>
          <w:sz w:val="32"/>
          <w:szCs w:val="32"/>
          <w:lang w:eastAsia="zh-CN"/>
        </w:rPr>
        <w:t>因疫情影响及时将核减预算的项目，调整确定了新的绩效目标，</w:t>
      </w:r>
      <w:r>
        <w:rPr>
          <w:rFonts w:hint="eastAsia" w:ascii="仿宋_GB2312" w:hAnsi="宋体" w:eastAsia="仿宋_GB2312" w:cs="宋体"/>
          <w:color w:val="000000"/>
          <w:kern w:val="0"/>
          <w:sz w:val="32"/>
          <w:szCs w:val="32"/>
          <w:lang w:val="en-US" w:eastAsia="zh-CN"/>
        </w:rPr>
        <w:t>更加明确</w:t>
      </w:r>
      <w:r>
        <w:rPr>
          <w:rFonts w:hint="eastAsia" w:ascii="仿宋_GB2312" w:hAnsi="宋体" w:eastAsia="仿宋_GB2312" w:cs="宋体"/>
          <w:color w:val="000000"/>
          <w:kern w:val="0"/>
          <w:sz w:val="32"/>
          <w:szCs w:val="32"/>
          <w:lang w:eastAsia="zh-CN"/>
        </w:rPr>
        <w:t>了绩效目标任务，预算资金的支出达到了预期的效果。</w:t>
      </w:r>
    </w:p>
    <w:p>
      <w:pPr>
        <w:ind w:right="0" w:firstLine="640" w:firstLineChars="200"/>
        <w:rPr>
          <w:rFonts w:hint="eastAsia" w:ascii="仿宋_GB2312" w:hAnsi="黑体" w:eastAsia="仿宋_GB2312" w:cs="Times New Roman"/>
          <w:bCs/>
          <w:color w:val="auto"/>
          <w:kern w:val="2"/>
          <w:sz w:val="32"/>
          <w:szCs w:val="32"/>
          <w:highlight w:val="none"/>
        </w:rPr>
      </w:pPr>
      <w:r>
        <w:rPr>
          <w:rFonts w:hint="eastAsia" w:ascii="仿宋_GB2312" w:hAnsi="黑体" w:eastAsia="仿宋_GB2312" w:cs="Times New Roman"/>
          <w:bCs/>
          <w:color w:val="auto"/>
          <w:kern w:val="2"/>
          <w:sz w:val="32"/>
          <w:szCs w:val="32"/>
        </w:rPr>
        <w:t>对</w:t>
      </w:r>
      <w:r>
        <w:rPr>
          <w:rFonts w:hint="eastAsia" w:ascii="仿宋_GB2312" w:hAnsi="黑体" w:eastAsia="仿宋_GB2312" w:cs="Times New Roman"/>
          <w:bCs/>
          <w:color w:val="auto"/>
          <w:kern w:val="2"/>
          <w:sz w:val="32"/>
          <w:szCs w:val="32"/>
          <w:lang w:eastAsia="zh-CN"/>
        </w:rPr>
        <w:t>2022</w:t>
      </w:r>
      <w:r>
        <w:rPr>
          <w:rFonts w:hint="eastAsia" w:ascii="仿宋_GB2312" w:hAnsi="黑体" w:eastAsia="仿宋_GB2312" w:cs="Times New Roman"/>
          <w:bCs/>
          <w:color w:val="auto"/>
          <w:kern w:val="2"/>
          <w:sz w:val="32"/>
          <w:szCs w:val="32"/>
        </w:rPr>
        <w:t>年度3</w:t>
      </w:r>
      <w:r>
        <w:rPr>
          <w:rFonts w:hint="eastAsia" w:ascii="仿宋_GB2312" w:hAnsi="黑体" w:eastAsia="仿宋_GB2312" w:cs="Times New Roman"/>
          <w:bCs/>
          <w:color w:val="auto"/>
          <w:kern w:val="2"/>
          <w:sz w:val="32"/>
          <w:szCs w:val="32"/>
          <w:lang w:val="en-US" w:eastAsia="zh-CN"/>
        </w:rPr>
        <w:t>2</w:t>
      </w:r>
      <w:r>
        <w:rPr>
          <w:rFonts w:hint="eastAsia" w:ascii="仿宋_GB2312" w:hAnsi="黑体" w:eastAsia="仿宋_GB2312" w:cs="Times New Roman"/>
          <w:bCs/>
          <w:color w:val="auto"/>
          <w:kern w:val="2"/>
          <w:sz w:val="32"/>
          <w:szCs w:val="32"/>
        </w:rPr>
        <w:t>个项目采</w:t>
      </w:r>
      <w:r>
        <w:rPr>
          <w:rFonts w:hint="eastAsia" w:ascii="仿宋_GB2312" w:hAnsi="黑体" w:eastAsia="仿宋_GB2312" w:cs="Times New Roman"/>
          <w:bCs/>
          <w:color w:val="auto"/>
          <w:kern w:val="2"/>
          <w:sz w:val="32"/>
          <w:szCs w:val="32"/>
          <w:lang w:val="en-US" w:eastAsia="zh-CN"/>
        </w:rPr>
        <w:t>取</w:t>
      </w:r>
      <w:r>
        <w:rPr>
          <w:rFonts w:hint="eastAsia" w:ascii="仿宋_GB2312" w:hAnsi="黑体" w:eastAsia="仿宋_GB2312" w:cs="Times New Roman"/>
          <w:bCs/>
          <w:color w:val="auto"/>
          <w:kern w:val="2"/>
          <w:sz w:val="32"/>
          <w:szCs w:val="32"/>
        </w:rPr>
        <w:t>单位自评方式，填写项目支出绩效自评表。对</w:t>
      </w:r>
      <w:r>
        <w:rPr>
          <w:rFonts w:hint="eastAsia" w:ascii="仿宋_GB2312" w:hAnsi="黑体" w:eastAsia="仿宋_GB2312" w:cs="Times New Roman"/>
          <w:bCs/>
          <w:color w:val="auto"/>
          <w:kern w:val="2"/>
          <w:sz w:val="32"/>
          <w:szCs w:val="32"/>
          <w:highlight w:val="none"/>
        </w:rPr>
        <w:t>“</w:t>
      </w:r>
      <w:r>
        <w:rPr>
          <w:rFonts w:hint="eastAsia" w:ascii="仿宋_GB2312" w:hAnsi="黑体" w:eastAsia="仿宋_GB2312" w:cs="Times New Roman"/>
          <w:bCs/>
          <w:sz w:val="32"/>
          <w:szCs w:val="32"/>
          <w:highlight w:val="none"/>
        </w:rPr>
        <w:t>制作出版《宗教中国化北京故事》</w:t>
      </w:r>
      <w:r>
        <w:rPr>
          <w:rFonts w:hint="eastAsia" w:ascii="仿宋_GB2312" w:hAnsi="黑体" w:eastAsia="仿宋_GB2312" w:cs="Times New Roman"/>
          <w:bCs/>
          <w:color w:val="auto"/>
          <w:kern w:val="2"/>
          <w:sz w:val="32"/>
          <w:szCs w:val="32"/>
          <w:highlight w:val="none"/>
        </w:rPr>
        <w:t>”</w:t>
      </w:r>
      <w:r>
        <w:rPr>
          <w:rFonts w:hint="eastAsia" w:ascii="仿宋_GB2312" w:hAnsi="黑体" w:eastAsia="仿宋_GB2312" w:cs="Times New Roman"/>
          <w:bCs/>
          <w:color w:val="auto"/>
          <w:kern w:val="2"/>
          <w:sz w:val="32"/>
          <w:szCs w:val="32"/>
          <w:lang w:val="en-US" w:eastAsia="zh-CN"/>
        </w:rPr>
        <w:t>项目</w:t>
      </w:r>
      <w:r>
        <w:rPr>
          <w:rFonts w:hint="eastAsia" w:ascii="仿宋_GB2312" w:hAnsi="黑体" w:eastAsia="仿宋_GB2312" w:cs="Times New Roman"/>
          <w:bCs/>
          <w:color w:val="auto"/>
          <w:kern w:val="2"/>
          <w:sz w:val="32"/>
          <w:szCs w:val="32"/>
        </w:rPr>
        <w:t>采用部门评价方式，出具项目绩效评价报告</w:t>
      </w:r>
      <w:r>
        <w:rPr>
          <w:rFonts w:hint="eastAsia" w:ascii="仿宋_GB2312" w:hAnsi="黑体" w:eastAsia="仿宋_GB2312" w:cs="Times New Roman"/>
          <w:bCs/>
          <w:color w:val="auto"/>
          <w:kern w:val="2"/>
          <w:sz w:val="32"/>
          <w:szCs w:val="32"/>
          <w:lang w:eastAsia="zh-CN"/>
        </w:rPr>
        <w:t>。2022</w:t>
      </w:r>
      <w:r>
        <w:rPr>
          <w:rFonts w:hint="eastAsia" w:ascii="仿宋_GB2312" w:hAnsi="黑体" w:eastAsia="仿宋_GB2312" w:cs="Times New Roman"/>
          <w:bCs/>
          <w:color w:val="auto"/>
          <w:kern w:val="2"/>
          <w:sz w:val="32"/>
          <w:szCs w:val="32"/>
        </w:rPr>
        <w:t>年部门预算绩效总体完成情况较好，财政资金的使用效益得到了应有的发挥。从评价结果看，项目立项符合部门职责和相关管理制度，制定的项目绩效目标</w:t>
      </w:r>
      <w:r>
        <w:rPr>
          <w:rFonts w:hint="eastAsia" w:ascii="仿宋_GB2312" w:hAnsi="黑体" w:eastAsia="仿宋_GB2312" w:cs="Times New Roman"/>
          <w:bCs/>
          <w:color w:val="auto"/>
          <w:kern w:val="2"/>
          <w:sz w:val="32"/>
          <w:szCs w:val="32"/>
          <w:lang w:val="en-US" w:eastAsia="zh-CN"/>
        </w:rPr>
        <w:t>较</w:t>
      </w:r>
      <w:r>
        <w:rPr>
          <w:rFonts w:hint="eastAsia" w:ascii="仿宋_GB2312" w:hAnsi="黑体" w:eastAsia="仿宋_GB2312" w:cs="Times New Roman"/>
          <w:bCs/>
          <w:color w:val="auto"/>
          <w:kern w:val="2"/>
          <w:sz w:val="32"/>
          <w:szCs w:val="32"/>
        </w:rPr>
        <w:t>合理，各项工作有序开展，任务完成质量较高，保障了市政协办公厅各项工作的正常开展，发挥了政协协商、民主监督和参政议政的实效作用。</w:t>
      </w:r>
    </w:p>
    <w:p>
      <w:pPr>
        <w:ind w:left="105" w:leftChars="50" w:firstLine="480" w:firstLineChars="150"/>
        <w:outlineLvl w:val="1"/>
        <w:rPr>
          <w:rFonts w:ascii="楷体_GB2312" w:eastAsia="楷体_GB2312"/>
          <w:sz w:val="32"/>
          <w:szCs w:val="32"/>
        </w:rPr>
      </w:pPr>
      <w:r>
        <w:rPr>
          <w:rFonts w:hint="eastAsia" w:ascii="楷体_GB2312" w:eastAsia="楷体_GB2312"/>
          <w:sz w:val="32"/>
          <w:szCs w:val="32"/>
        </w:rPr>
        <w:t>（四）结转结余率</w:t>
      </w:r>
    </w:p>
    <w:p>
      <w:pPr>
        <w:ind w:right="84"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2022</w:t>
      </w:r>
      <w:r>
        <w:rPr>
          <w:rFonts w:hint="eastAsia" w:ascii="仿宋_GB2312" w:hAnsi="宋体" w:eastAsia="仿宋_GB2312" w:cs="宋体"/>
          <w:color w:val="000000"/>
          <w:kern w:val="0"/>
          <w:sz w:val="32"/>
          <w:szCs w:val="32"/>
        </w:rPr>
        <w:t>年预算年末结转结余505.91万元，全年预算</w:t>
      </w:r>
      <w:r>
        <w:rPr>
          <w:rFonts w:hint="eastAsia" w:ascii="仿宋_GB2312" w:hAnsi="宋体" w:eastAsia="仿宋_GB2312" w:cs="宋体"/>
          <w:color w:val="000000"/>
          <w:kern w:val="0"/>
          <w:sz w:val="32"/>
          <w:szCs w:val="32"/>
          <w:lang w:eastAsia="zh-CN"/>
        </w:rPr>
        <w:t>总</w:t>
      </w:r>
      <w:r>
        <w:rPr>
          <w:rFonts w:hint="eastAsia" w:ascii="仿宋_GB2312" w:hAnsi="宋体" w:eastAsia="仿宋_GB2312" w:cs="宋体"/>
          <w:color w:val="000000"/>
          <w:kern w:val="0"/>
          <w:sz w:val="32"/>
          <w:szCs w:val="32"/>
        </w:rPr>
        <w:t>支出</w:t>
      </w:r>
      <w:r>
        <w:rPr>
          <w:rFonts w:hint="eastAsia" w:ascii="仿宋_GB2312" w:hAnsi="仿宋_GB2312" w:eastAsia="仿宋_GB2312" w:cs="仿宋_GB2312"/>
          <w:color w:val="000000"/>
          <w:sz w:val="32"/>
          <w:lang w:val="en-US" w:eastAsia="zh-CN"/>
        </w:rPr>
        <w:t>15</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270.59</w:t>
      </w:r>
      <w:r>
        <w:rPr>
          <w:rFonts w:hint="eastAsia" w:ascii="仿宋_GB2312" w:hAnsi="宋体" w:eastAsia="仿宋_GB2312" w:cs="宋体"/>
          <w:color w:val="000000"/>
          <w:kern w:val="0"/>
          <w:sz w:val="32"/>
          <w:szCs w:val="32"/>
        </w:rPr>
        <w:t>万元，结转结余率为</w:t>
      </w:r>
      <w:r>
        <w:rPr>
          <w:rFonts w:hint="eastAsia" w:ascii="仿宋_GB2312" w:hAnsi="宋体" w:eastAsia="仿宋_GB2312" w:cs="宋体"/>
          <w:color w:val="000000"/>
          <w:kern w:val="0"/>
          <w:sz w:val="32"/>
          <w:szCs w:val="32"/>
          <w:lang w:val="en-US" w:eastAsia="zh-CN"/>
        </w:rPr>
        <w:t>3.31</w:t>
      </w:r>
      <w:r>
        <w:rPr>
          <w:rFonts w:hint="eastAsia" w:ascii="仿宋_GB2312" w:hAnsi="宋体" w:eastAsia="仿宋_GB2312" w:cs="宋体"/>
          <w:color w:val="000000"/>
          <w:kern w:val="0"/>
          <w:sz w:val="32"/>
          <w:szCs w:val="32"/>
        </w:rPr>
        <w:t>%，较上年结转结余率（2.36%）高0.</w:t>
      </w:r>
      <w:r>
        <w:rPr>
          <w:rFonts w:hint="eastAsia" w:ascii="仿宋_GB2312" w:hAnsi="宋体" w:eastAsia="仿宋_GB2312" w:cs="宋体"/>
          <w:color w:val="000000"/>
          <w:kern w:val="0"/>
          <w:sz w:val="32"/>
          <w:szCs w:val="32"/>
          <w:lang w:val="en-US" w:eastAsia="zh-CN"/>
        </w:rPr>
        <w:t>95</w:t>
      </w:r>
      <w:r>
        <w:rPr>
          <w:rFonts w:hint="eastAsia" w:ascii="仿宋_GB2312" w:hAnsi="宋体" w:eastAsia="仿宋_GB2312" w:cs="宋体"/>
          <w:color w:val="000000"/>
          <w:kern w:val="0"/>
          <w:sz w:val="32"/>
          <w:szCs w:val="32"/>
        </w:rPr>
        <w:t>%。结余主要是由于疫情</w:t>
      </w:r>
      <w:r>
        <w:rPr>
          <w:rFonts w:hint="eastAsia" w:ascii="仿宋_GB2312" w:hAnsi="宋体" w:eastAsia="仿宋_GB2312" w:cs="宋体"/>
          <w:color w:val="000000"/>
          <w:kern w:val="0"/>
          <w:sz w:val="32"/>
          <w:szCs w:val="32"/>
          <w:lang w:val="en-US" w:eastAsia="zh-CN"/>
        </w:rPr>
        <w:t>影响</w:t>
      </w:r>
      <w:r>
        <w:rPr>
          <w:rFonts w:hint="eastAsia" w:ascii="仿宋_GB2312" w:hAnsi="宋体" w:eastAsia="仿宋_GB2312" w:cs="宋体"/>
          <w:color w:val="000000"/>
          <w:kern w:val="0"/>
          <w:sz w:val="32"/>
          <w:szCs w:val="32"/>
        </w:rPr>
        <w:t>，部分会议活动改为视频形式，外出视察调研</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差旅及文化活动取消。</w:t>
      </w:r>
    </w:p>
    <w:p>
      <w:pPr>
        <w:ind w:left="105" w:leftChars="50" w:firstLine="480" w:firstLineChars="150"/>
        <w:outlineLvl w:val="1"/>
        <w:rPr>
          <w:rFonts w:hint="eastAsia" w:ascii="楷体_GB2312" w:eastAsia="楷体_GB2312"/>
          <w:sz w:val="32"/>
          <w:szCs w:val="32"/>
        </w:rPr>
      </w:pPr>
      <w:r>
        <w:rPr>
          <w:rFonts w:hint="eastAsia" w:ascii="楷体_GB2312" w:eastAsia="楷体_GB2312"/>
          <w:sz w:val="32"/>
          <w:szCs w:val="32"/>
        </w:rPr>
        <w:t>（五）部门预决算差异率</w:t>
      </w:r>
    </w:p>
    <w:p>
      <w:pPr>
        <w:ind w:right="84" w:firstLine="640" w:firstLineChars="200"/>
        <w:rPr>
          <w:rFonts w:hint="eastAsia" w:ascii="仿宋_GB2312" w:eastAsia="仿宋_GB2312"/>
          <w:sz w:val="32"/>
          <w:szCs w:val="32"/>
          <w:lang w:eastAsia="zh-CN"/>
        </w:rPr>
      </w:pPr>
      <w:r>
        <w:rPr>
          <w:rFonts w:hint="eastAsia" w:ascii="仿宋_GB2312" w:hAnsi="宋体" w:eastAsia="仿宋_GB2312" w:cs="宋体"/>
          <w:color w:val="000000"/>
          <w:kern w:val="0"/>
          <w:sz w:val="32"/>
          <w:szCs w:val="32"/>
          <w:lang w:eastAsia="zh-CN"/>
        </w:rPr>
        <w:t>2022</w:t>
      </w:r>
      <w:r>
        <w:rPr>
          <w:rFonts w:hint="eastAsia" w:ascii="仿宋_GB2312" w:hAnsi="宋体" w:eastAsia="仿宋_GB2312" w:cs="宋体"/>
          <w:color w:val="000000"/>
          <w:kern w:val="0"/>
          <w:sz w:val="32"/>
          <w:szCs w:val="32"/>
        </w:rPr>
        <w:t>年，年初部门预算</w:t>
      </w:r>
      <w:r>
        <w:rPr>
          <w:rFonts w:hint="eastAsia" w:ascii="仿宋_GB2312" w:hAnsi="宋体" w:eastAsia="仿宋_GB2312" w:cs="宋体"/>
          <w:color w:val="000000"/>
          <w:kern w:val="0"/>
          <w:sz w:val="32"/>
          <w:szCs w:val="32"/>
          <w:lang w:val="en-US" w:eastAsia="zh-CN"/>
        </w:rPr>
        <w:t>15,172.21</w:t>
      </w:r>
      <w:r>
        <w:rPr>
          <w:rFonts w:hint="eastAsia" w:ascii="仿宋_GB2312" w:hAnsi="宋体" w:eastAsia="仿宋_GB2312" w:cs="宋体"/>
          <w:color w:val="000000"/>
          <w:kern w:val="0"/>
          <w:sz w:val="32"/>
          <w:szCs w:val="32"/>
        </w:rPr>
        <w:t>万元，年度部门决算</w:t>
      </w:r>
      <w:r>
        <w:rPr>
          <w:rFonts w:hint="eastAsia" w:ascii="仿宋_GB2312" w:hAnsi="宋体" w:eastAsia="仿宋_GB2312" w:cs="宋体"/>
          <w:color w:val="000000"/>
          <w:kern w:val="0"/>
          <w:sz w:val="32"/>
          <w:szCs w:val="32"/>
          <w:lang w:val="en-US" w:eastAsia="zh-CN"/>
        </w:rPr>
        <w:t>15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270.59</w:t>
      </w:r>
      <w:r>
        <w:rPr>
          <w:rFonts w:hint="eastAsia" w:ascii="仿宋_GB2312" w:hAnsi="宋体" w:eastAsia="仿宋_GB2312" w:cs="宋体"/>
          <w:color w:val="000000"/>
          <w:kern w:val="0"/>
          <w:sz w:val="32"/>
          <w:szCs w:val="32"/>
        </w:rPr>
        <w:t>万元，部门预决算差异率为</w:t>
      </w:r>
      <w:r>
        <w:rPr>
          <w:rFonts w:hint="eastAsia" w:ascii="仿宋_GB2312" w:hAnsi="宋体" w:eastAsia="仿宋_GB2312" w:cs="宋体"/>
          <w:color w:val="000000"/>
          <w:kern w:val="0"/>
          <w:sz w:val="32"/>
          <w:szCs w:val="32"/>
          <w:lang w:val="en-US" w:eastAsia="zh-CN"/>
        </w:rPr>
        <w:t>0.65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w:t>
      </w:r>
    </w:p>
    <w:p>
      <w:pPr>
        <w:ind w:left="105" w:leftChars="50" w:firstLine="480" w:firstLineChars="150"/>
        <w:outlineLvl w:val="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五、总体评价结论</w:t>
      </w:r>
    </w:p>
    <w:p>
      <w:pPr>
        <w:ind w:left="105" w:leftChars="50" w:firstLine="480" w:firstLineChars="150"/>
        <w:outlineLvl w:val="1"/>
        <w:rPr>
          <w:rFonts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经评价，市政协</w:t>
      </w:r>
      <w:r>
        <w:rPr>
          <w:rFonts w:hint="eastAsia" w:ascii="仿宋_GB2312" w:hAnsi="宋体" w:eastAsia="仿宋_GB2312" w:cs="宋体"/>
          <w:color w:val="000000"/>
          <w:kern w:val="0"/>
          <w:sz w:val="32"/>
          <w:szCs w:val="32"/>
          <w:highlight w:val="none"/>
          <w:lang w:eastAsia="zh-CN"/>
        </w:rPr>
        <w:t>机关2022</w:t>
      </w:r>
      <w:r>
        <w:rPr>
          <w:rFonts w:hint="eastAsia" w:ascii="仿宋_GB2312" w:hAnsi="宋体" w:eastAsia="仿宋_GB2312" w:cs="宋体"/>
          <w:color w:val="000000"/>
          <w:kern w:val="0"/>
          <w:sz w:val="32"/>
          <w:szCs w:val="32"/>
          <w:highlight w:val="none"/>
        </w:rPr>
        <w:t>年度部门整体支出绩效评价总得分</w:t>
      </w:r>
      <w:r>
        <w:rPr>
          <w:rFonts w:hint="eastAsia" w:ascii="仿宋_GB2312" w:hAnsi="宋体" w:eastAsia="仿宋_GB2312" w:cs="宋体"/>
          <w:color w:val="000000"/>
          <w:kern w:val="0"/>
          <w:sz w:val="32"/>
          <w:szCs w:val="32"/>
          <w:highlight w:val="none"/>
          <w:lang w:val="en-US" w:eastAsia="zh-CN"/>
        </w:rPr>
        <w:t>95.51</w:t>
      </w:r>
      <w:r>
        <w:rPr>
          <w:rFonts w:hint="eastAsia" w:ascii="仿宋_GB2312" w:hAnsi="宋体" w:eastAsia="仿宋_GB2312" w:cs="宋体"/>
          <w:color w:val="000000"/>
          <w:kern w:val="0"/>
          <w:sz w:val="32"/>
          <w:szCs w:val="32"/>
          <w:highlight w:val="none"/>
        </w:rPr>
        <w:t>分，评价结果为“优秀”。其中当年预算执行情况得分为19.3</w:t>
      </w:r>
      <w:r>
        <w:rPr>
          <w:rFonts w:hint="eastAsia" w:ascii="仿宋_GB2312" w:hAnsi="宋体" w:eastAsia="仿宋_GB2312" w:cs="宋体"/>
          <w:color w:val="000000"/>
          <w:kern w:val="0"/>
          <w:sz w:val="32"/>
          <w:szCs w:val="32"/>
          <w:highlight w:val="none"/>
          <w:lang w:val="en-US" w:eastAsia="zh-CN"/>
        </w:rPr>
        <w:t>9</w:t>
      </w:r>
      <w:r>
        <w:rPr>
          <w:rFonts w:hint="eastAsia" w:ascii="仿宋_GB2312" w:hAnsi="宋体" w:eastAsia="仿宋_GB2312" w:cs="宋体"/>
          <w:color w:val="000000"/>
          <w:kern w:val="0"/>
          <w:sz w:val="32"/>
          <w:szCs w:val="32"/>
          <w:highlight w:val="none"/>
        </w:rPr>
        <w:t>分；整体绩效目标实现情况得分为</w:t>
      </w:r>
      <w:r>
        <w:rPr>
          <w:rFonts w:hint="eastAsia" w:ascii="仿宋_GB2312" w:hAnsi="宋体" w:eastAsia="仿宋_GB2312" w:cs="宋体"/>
          <w:color w:val="000000"/>
          <w:kern w:val="0"/>
          <w:sz w:val="32"/>
          <w:szCs w:val="32"/>
          <w:highlight w:val="none"/>
          <w:lang w:val="en-US" w:eastAsia="zh-CN"/>
        </w:rPr>
        <w:t>56.5</w:t>
      </w:r>
      <w:r>
        <w:rPr>
          <w:rFonts w:hint="eastAsia" w:ascii="仿宋_GB2312" w:hAnsi="宋体" w:eastAsia="仿宋_GB2312" w:cs="宋体"/>
          <w:color w:val="000000"/>
          <w:kern w:val="0"/>
          <w:sz w:val="32"/>
          <w:szCs w:val="32"/>
          <w:highlight w:val="none"/>
        </w:rPr>
        <w:t>分；预算管理情况得分</w:t>
      </w:r>
      <w:r>
        <w:rPr>
          <w:rFonts w:hint="eastAsia" w:ascii="仿宋_GB2312" w:hAnsi="宋体" w:eastAsia="仿宋_GB2312" w:cs="宋体"/>
          <w:color w:val="000000"/>
          <w:kern w:val="0"/>
          <w:sz w:val="32"/>
          <w:szCs w:val="32"/>
          <w:highlight w:val="none"/>
          <w:lang w:val="en-US" w:eastAsia="zh-CN"/>
        </w:rPr>
        <w:t>19.62</w:t>
      </w:r>
      <w:r>
        <w:rPr>
          <w:rFonts w:hint="eastAsia" w:ascii="仿宋_GB2312" w:hAnsi="宋体" w:eastAsia="仿宋_GB2312" w:cs="宋体"/>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before="160" w:beforeLines="50" w:after="160" w:afterLines="50" w:line="560" w:lineRule="exact"/>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年部门整体绩效评价指标体系评分一览表</w:t>
      </w:r>
    </w:p>
    <w:tbl>
      <w:tblPr>
        <w:tblStyle w:val="9"/>
        <w:tblW w:w="925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2318"/>
        <w:gridCol w:w="3151"/>
        <w:gridCol w:w="1288"/>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一级指标</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二级指标</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三级指标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分值</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当年预算执行情况（20）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资金总体</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20.00</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基本支出</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项目支出</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其他</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整体绩效目标实现情况（60）</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产出（30）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产出数量指标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产出质量指标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产出进度指标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5.00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产出成本指标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5.00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效益（30）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社会效益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可持续影响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服务对象满意度</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预算管理情况（20）</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财务管理（4）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财务管理制度健全性</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资金使用合规性和安全性</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会计基础信息完善性</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资产管理（4）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资产管理规范性</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绩效管理（4）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绩效管理情况</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结转结余率（4）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部门预决算差异率（4）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合计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95.51</w:t>
            </w:r>
          </w:p>
        </w:tc>
      </w:tr>
    </w:tbl>
    <w:p>
      <w:pPr>
        <w:ind w:left="105" w:leftChars="50" w:firstLine="480" w:firstLineChars="150"/>
        <w:outlineLvl w:val="1"/>
        <w:rPr>
          <w:rFonts w:hint="eastAsia" w:ascii="楷体_GB2312" w:eastAsia="楷体_GB2312"/>
          <w:sz w:val="32"/>
          <w:szCs w:val="32"/>
          <w:highlight w:val="none"/>
          <w:lang w:val="en-US" w:eastAsia="zh-CN"/>
        </w:rPr>
      </w:pPr>
      <w:r>
        <w:rPr>
          <w:rFonts w:hint="eastAsia" w:ascii="楷体_GB2312" w:eastAsia="楷体_GB2312"/>
          <w:sz w:val="32"/>
          <w:szCs w:val="32"/>
          <w:highlight w:val="none"/>
        </w:rPr>
        <w:t>（二）存在的问题</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val="en-US" w:eastAsia="zh-CN"/>
        </w:rPr>
        <w:t>1.</w:t>
      </w:r>
      <w:r>
        <w:rPr>
          <w:rFonts w:hint="eastAsia" w:ascii="仿宋_GB2312" w:hAnsi="Times New Roman" w:eastAsia="仿宋_GB2312" w:cs="Times New Roman"/>
          <w:sz w:val="32"/>
          <w:szCs w:val="32"/>
        </w:rPr>
        <w:t>部门整体绩效指标设定较为宽泛，量化不充分，不便于部门整体绩效的量化考核。</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val="en-US" w:eastAsia="zh-CN"/>
        </w:rPr>
        <w:t>2.</w:t>
      </w:r>
      <w:r>
        <w:rPr>
          <w:rFonts w:hint="eastAsia" w:ascii="仿宋_GB2312" w:hAnsi="Times New Roman" w:eastAsia="仿宋_GB2312" w:cs="Times New Roman"/>
          <w:sz w:val="32"/>
          <w:szCs w:val="32"/>
        </w:rPr>
        <w:t>部分项目过程资料归集整理</w:t>
      </w:r>
      <w:r>
        <w:rPr>
          <w:rFonts w:hint="eastAsia" w:ascii="仿宋_GB2312" w:eastAsia="仿宋_GB2312" w:cs="Times New Roman"/>
          <w:sz w:val="32"/>
          <w:szCs w:val="32"/>
          <w:lang w:eastAsia="zh-CN"/>
        </w:rPr>
        <w:t>需完善</w:t>
      </w:r>
      <w:r>
        <w:rPr>
          <w:rFonts w:hint="eastAsia" w:ascii="仿宋_GB2312" w:hAnsi="Times New Roman" w:eastAsia="仿宋_GB2312" w:cs="Times New Roman"/>
          <w:sz w:val="32"/>
          <w:szCs w:val="32"/>
        </w:rPr>
        <w:t>，导致项目决策、管理以及绩效信息未充分体现。</w:t>
      </w:r>
    </w:p>
    <w:p>
      <w:pPr>
        <w:ind w:firstLine="640" w:firstLineChars="200"/>
        <w:outlineLvl w:val="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ind w:firstLine="640" w:firstLineChars="200"/>
        <w:rPr>
          <w:rFonts w:hint="eastAsia" w:ascii="仿宋_GB2312" w:eastAsia="仿宋_GB2312"/>
          <w:sz w:val="32"/>
          <w:szCs w:val="32"/>
        </w:rPr>
      </w:pPr>
      <w:bookmarkStart w:id="0" w:name="_Toc72401385"/>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hAnsi="Times New Roman" w:eastAsia="仿宋_GB2312" w:cs="Times New Roman"/>
          <w:sz w:val="32"/>
          <w:szCs w:val="32"/>
        </w:rPr>
        <w:t>进一步优化部门整体绩效目标。按照全面实施预算绩效管理相关要求，</w:t>
      </w:r>
      <w:r>
        <w:rPr>
          <w:rFonts w:hint="eastAsia" w:ascii="仿宋_GB2312" w:eastAsia="仿宋_GB2312" w:cs="Times New Roman"/>
          <w:sz w:val="32"/>
          <w:szCs w:val="32"/>
          <w:lang w:eastAsia="zh-CN"/>
        </w:rPr>
        <w:t>结合市政协机关各项</w:t>
      </w:r>
      <w:r>
        <w:rPr>
          <w:rFonts w:hint="eastAsia" w:ascii="仿宋_GB2312" w:hAnsi="Times New Roman" w:eastAsia="仿宋_GB2312" w:cs="Times New Roman"/>
          <w:sz w:val="32"/>
          <w:szCs w:val="32"/>
        </w:rPr>
        <w:t>工作职责进行全面梳理，</w:t>
      </w:r>
      <w:r>
        <w:rPr>
          <w:rFonts w:hint="eastAsia" w:ascii="仿宋_GB2312" w:eastAsia="仿宋_GB2312"/>
          <w:sz w:val="32"/>
          <w:szCs w:val="32"/>
          <w:lang w:val="en-US" w:eastAsia="zh-CN"/>
        </w:rPr>
        <w:t>加强</w:t>
      </w:r>
      <w:r>
        <w:rPr>
          <w:rFonts w:hint="eastAsia" w:ascii="仿宋_GB2312" w:eastAsia="仿宋_GB2312"/>
          <w:sz w:val="32"/>
          <w:szCs w:val="32"/>
        </w:rPr>
        <w:t>与</w:t>
      </w:r>
      <w:r>
        <w:rPr>
          <w:rFonts w:hint="eastAsia" w:ascii="仿宋_GB2312" w:eastAsia="仿宋_GB2312"/>
          <w:sz w:val="32"/>
          <w:szCs w:val="32"/>
          <w:lang w:val="en-US" w:eastAsia="zh-CN"/>
        </w:rPr>
        <w:t>各处室的紧密</w:t>
      </w:r>
      <w:r>
        <w:rPr>
          <w:rFonts w:hint="eastAsia" w:ascii="仿宋_GB2312" w:eastAsia="仿宋_GB2312"/>
          <w:sz w:val="32"/>
          <w:szCs w:val="32"/>
        </w:rPr>
        <w:t>沟通，</w:t>
      </w:r>
      <w:r>
        <w:rPr>
          <w:rFonts w:hint="eastAsia" w:ascii="仿宋_GB2312" w:hAnsi="Times New Roman" w:eastAsia="仿宋_GB2312" w:cs="Times New Roman"/>
          <w:sz w:val="32"/>
          <w:szCs w:val="32"/>
        </w:rPr>
        <w:t>设定部门整体绩效目标，以定量指标为主，推动工作有效落实，充分发挥部门整体绩效目标的引导作用。</w:t>
      </w:r>
    </w:p>
    <w:p>
      <w:pPr>
        <w:spacing w:line="240" w:lineRule="auto"/>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val="en-US" w:eastAsia="zh-CN"/>
        </w:rPr>
        <w:t>2.</w:t>
      </w:r>
      <w:r>
        <w:rPr>
          <w:rFonts w:hint="eastAsia" w:ascii="仿宋_GB2312" w:hAnsi="Times New Roman" w:eastAsia="仿宋_GB2312" w:cs="Times New Roman"/>
          <w:sz w:val="32"/>
          <w:szCs w:val="32"/>
        </w:rPr>
        <w:t>进一步</w:t>
      </w:r>
      <w:r>
        <w:rPr>
          <w:rFonts w:hint="eastAsia" w:ascii="仿宋_GB2312" w:eastAsia="仿宋_GB2312" w:cs="Times New Roman"/>
          <w:sz w:val="32"/>
          <w:szCs w:val="32"/>
          <w:lang w:eastAsia="zh-CN"/>
        </w:rPr>
        <w:t>规范</w:t>
      </w:r>
      <w:r>
        <w:rPr>
          <w:rFonts w:hint="eastAsia" w:ascii="仿宋_GB2312" w:hAnsi="Times New Roman" w:eastAsia="仿宋_GB2312" w:cs="Times New Roman"/>
          <w:sz w:val="32"/>
          <w:szCs w:val="32"/>
        </w:rPr>
        <w:t>绩效评价</w:t>
      </w:r>
      <w:r>
        <w:rPr>
          <w:rFonts w:hint="eastAsia" w:ascii="仿宋_GB2312" w:eastAsia="仿宋_GB2312" w:cs="Times New Roman"/>
          <w:sz w:val="32"/>
          <w:szCs w:val="32"/>
          <w:lang w:eastAsia="zh-CN"/>
        </w:rPr>
        <w:t>资料的归集与整理。</w:t>
      </w:r>
      <w:r>
        <w:rPr>
          <w:rFonts w:hint="eastAsia" w:ascii="仿宋_GB2312" w:eastAsia="仿宋_GB2312"/>
          <w:sz w:val="32"/>
          <w:szCs w:val="32"/>
          <w:lang w:eastAsia="zh-CN"/>
        </w:rPr>
        <w:t>办公厅做好“点对点”服务，定期跟踪项目阶段性完成情况，</w:t>
      </w:r>
      <w:r>
        <w:rPr>
          <w:rFonts w:hint="eastAsia" w:ascii="仿宋_GB2312" w:hAnsi="Times New Roman" w:eastAsia="仿宋_GB2312" w:cs="Times New Roman"/>
          <w:sz w:val="32"/>
          <w:szCs w:val="32"/>
        </w:rPr>
        <w:t>定期收集部门整体绩效目标执行情况材料，汇总分析进度完成情况，</w:t>
      </w:r>
      <w:r>
        <w:rPr>
          <w:rFonts w:hint="eastAsia" w:ascii="仿宋_GB2312" w:eastAsia="仿宋_GB2312" w:cs="Times New Roman"/>
          <w:sz w:val="32"/>
          <w:szCs w:val="32"/>
          <w:lang w:eastAsia="zh-CN"/>
        </w:rPr>
        <w:t>确保项目各项绩效目标的呈现。</w:t>
      </w:r>
    </w:p>
    <w:bookmarkEnd w:id="0"/>
    <w:p>
      <w:pPr>
        <w:ind w:firstLine="640" w:firstLineChars="200"/>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七、附件</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年部门整体绩效评价指标体系评分表</w:t>
      </w:r>
    </w:p>
    <w:p>
      <w:pPr>
        <w:rPr>
          <w:rFonts w:ascii="仿宋_GB2312" w:hAnsi="宋体" w:eastAsia="仿宋_GB2312" w:cs="宋体"/>
          <w:color w:val="000000"/>
          <w:kern w:val="0"/>
          <w:sz w:val="32"/>
          <w:szCs w:val="32"/>
        </w:rPr>
        <w:sectPr>
          <w:footerReference r:id="rId3" w:type="default"/>
          <w:pgSz w:w="11906" w:h="16838"/>
          <w:pgMar w:top="1440" w:right="1417" w:bottom="1440" w:left="1417" w:header="851" w:footer="992" w:gutter="0"/>
          <w:cols w:space="425" w:num="1"/>
          <w:docGrid w:type="lines" w:linePitch="312" w:charSpace="0"/>
        </w:sectPr>
      </w:pPr>
    </w:p>
    <w:tbl>
      <w:tblPr>
        <w:tblStyle w:val="9"/>
        <w:tblW w:w="5000" w:type="pct"/>
        <w:tblInd w:w="0" w:type="dxa"/>
        <w:tblLayout w:type="fixed"/>
        <w:tblCellMar>
          <w:top w:w="0" w:type="dxa"/>
          <w:left w:w="108" w:type="dxa"/>
          <w:bottom w:w="0" w:type="dxa"/>
          <w:right w:w="108" w:type="dxa"/>
        </w:tblCellMar>
      </w:tblPr>
      <w:tblGrid>
        <w:gridCol w:w="811"/>
        <w:gridCol w:w="814"/>
        <w:gridCol w:w="1341"/>
        <w:gridCol w:w="1922"/>
        <w:gridCol w:w="1800"/>
        <w:gridCol w:w="1000"/>
        <w:gridCol w:w="1000"/>
        <w:gridCol w:w="2645"/>
        <w:gridCol w:w="2841"/>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2022</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一、当年预算执行情况（20分）</w:t>
            </w:r>
          </w:p>
        </w:tc>
      </w:tr>
      <w:tr>
        <w:tblPrEx>
          <w:tblCellMar>
            <w:top w:w="0" w:type="dxa"/>
            <w:left w:w="108" w:type="dxa"/>
            <w:bottom w:w="0" w:type="dxa"/>
            <w:right w:w="108" w:type="dxa"/>
          </w:tblCellMar>
        </w:tblPrEx>
        <w:trPr>
          <w:trHeight w:val="660" w:hRule="atLeast"/>
        </w:trPr>
        <w:tc>
          <w:tcPr>
            <w:tcW w:w="28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w:t>
            </w:r>
            <w:r>
              <w:rPr>
                <w:rFonts w:cs="宋体" w:asciiTheme="minorEastAsia" w:hAnsiTheme="minorEastAsia" w:eastAsiaTheme="minorEastAsia"/>
                <w:color w:val="000000"/>
                <w:kern w:val="0"/>
                <w:sz w:val="18"/>
                <w:szCs w:val="18"/>
              </w:rPr>
              <w:t>级指标</w:t>
            </w:r>
            <w:r>
              <w:rPr>
                <w:rFonts w:hint="eastAsia" w:cs="宋体" w:asciiTheme="minorEastAsia" w:hAnsiTheme="minorEastAsia" w:eastAsiaTheme="minorEastAsia"/>
                <w:color w:val="000000"/>
                <w:kern w:val="0"/>
                <w:sz w:val="18"/>
                <w:szCs w:val="18"/>
              </w:rPr>
              <w:t>　</w:t>
            </w:r>
          </w:p>
        </w:tc>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w:t>
            </w:r>
            <w:r>
              <w:rPr>
                <w:rFonts w:cs="宋体" w:asciiTheme="minorEastAsia" w:hAnsiTheme="minorEastAsia" w:eastAsiaTheme="minorEastAsia"/>
                <w:color w:val="000000"/>
                <w:kern w:val="0"/>
                <w:sz w:val="18"/>
                <w:szCs w:val="18"/>
              </w:rPr>
              <w:t>级指标</w:t>
            </w:r>
            <w:r>
              <w:rPr>
                <w:rFonts w:hint="eastAsia" w:cs="宋体" w:asciiTheme="minorEastAsia" w:hAnsiTheme="minorEastAsia" w:eastAsiaTheme="minorEastAsia"/>
                <w:color w:val="000000"/>
                <w:kern w:val="0"/>
                <w:sz w:val="18"/>
                <w:szCs w:val="18"/>
              </w:rPr>
              <w:t>　</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预算数（万元）</w:t>
            </w:r>
          </w:p>
        </w:tc>
        <w:tc>
          <w:tcPr>
            <w:tcW w:w="67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执行数（万元）</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预算执行率</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分值</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得分</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指标解释</w:t>
            </w:r>
          </w:p>
        </w:tc>
        <w:tc>
          <w:tcPr>
            <w:tcW w:w="100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评分标准</w:t>
            </w:r>
          </w:p>
        </w:tc>
      </w:tr>
      <w:tr>
        <w:tblPrEx>
          <w:tblCellMar>
            <w:top w:w="0" w:type="dxa"/>
            <w:left w:w="108" w:type="dxa"/>
            <w:bottom w:w="0" w:type="dxa"/>
            <w:right w:w="108" w:type="dxa"/>
          </w:tblCellMar>
        </w:tblPrEx>
        <w:trPr>
          <w:trHeight w:val="630" w:hRule="atLeast"/>
        </w:trPr>
        <w:tc>
          <w:tcPr>
            <w:tcW w:w="286" w:type="pct"/>
            <w:vMerge w:val="restart"/>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当年预算执行情况（20）</w:t>
            </w:r>
          </w:p>
        </w:tc>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资金总体</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747.39</w:t>
            </w:r>
          </w:p>
        </w:tc>
        <w:tc>
          <w:tcPr>
            <w:tcW w:w="67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15</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270.59</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96.97%</w:t>
            </w:r>
          </w:p>
        </w:tc>
        <w:tc>
          <w:tcPr>
            <w:tcW w:w="35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35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19.3</w:t>
            </w:r>
            <w:r>
              <w:rPr>
                <w:rFonts w:hint="eastAsia" w:cs="宋体" w:asciiTheme="minorEastAsia" w:hAnsiTheme="minorEastAsia" w:eastAsiaTheme="minorEastAsia"/>
                <w:color w:val="000000"/>
                <w:kern w:val="0"/>
                <w:sz w:val="18"/>
                <w:szCs w:val="18"/>
                <w:lang w:val="en-US" w:eastAsia="zh-CN"/>
              </w:rPr>
              <w:t>9</w:t>
            </w:r>
          </w:p>
        </w:tc>
        <w:tc>
          <w:tcPr>
            <w:tcW w:w="93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部门全年执行数与全年预算数的比率。资金总体=基本支出+项目支出+其他</w:t>
            </w:r>
          </w:p>
        </w:tc>
        <w:tc>
          <w:tcPr>
            <w:tcW w:w="1002" w:type="pct"/>
            <w:vMerge w:val="restar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①得分一档最高不能超过该指标分值上限（20分）。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single" w:color="auto" w:sz="4" w:space="0"/>
              <w:left w:val="single" w:color="auto" w:sz="4" w:space="0"/>
              <w:bottom w:val="single" w:color="auto" w:sz="4" w:space="0"/>
              <w:right w:val="nil"/>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基本支出</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615.26</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368.08</w:t>
            </w:r>
          </w:p>
        </w:tc>
        <w:tc>
          <w:tcPr>
            <w:tcW w:w="63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52" w:type="pct"/>
            <w:vMerge w:val="continue"/>
            <w:tcBorders>
              <w:top w:val="single" w:color="auto" w:sz="4" w:space="0"/>
              <w:left w:val="nil"/>
              <w:bottom w:val="single" w:color="auto" w:sz="4" w:space="0"/>
              <w:right w:val="nil"/>
            </w:tcBorders>
            <w:vAlign w:val="center"/>
          </w:tcPr>
          <w:p>
            <w:pPr>
              <w:widowControl/>
              <w:jc w:val="left"/>
              <w:rPr>
                <w:rFonts w:cs="宋体" w:asciiTheme="minorEastAsia" w:hAnsiTheme="minorEastAsia" w:eastAsiaTheme="minorEastAsia"/>
                <w:color w:val="000000"/>
                <w:kern w:val="0"/>
                <w:sz w:val="18"/>
                <w:szCs w:val="18"/>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15"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single" w:color="auto" w:sz="4" w:space="0"/>
              <w:left w:val="single" w:color="auto" w:sz="4" w:space="0"/>
              <w:bottom w:val="single" w:color="auto" w:sz="4" w:space="0"/>
              <w:right w:val="nil"/>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项目支出</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161.24</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902.51</w:t>
            </w:r>
          </w:p>
        </w:tc>
        <w:tc>
          <w:tcPr>
            <w:tcW w:w="6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52" w:type="pct"/>
            <w:vMerge w:val="continue"/>
            <w:tcBorders>
              <w:top w:val="single" w:color="auto" w:sz="4" w:space="0"/>
              <w:left w:val="nil"/>
              <w:bottom w:val="single" w:color="auto" w:sz="4" w:space="0"/>
              <w:right w:val="nil"/>
            </w:tcBorders>
            <w:vAlign w:val="center"/>
          </w:tcPr>
          <w:p>
            <w:pPr>
              <w:widowControl/>
              <w:jc w:val="left"/>
              <w:rPr>
                <w:rFonts w:cs="宋体" w:asciiTheme="minorEastAsia" w:hAnsiTheme="minorEastAsia" w:eastAsiaTheme="minorEastAsia"/>
                <w:color w:val="000000"/>
                <w:kern w:val="0"/>
                <w:sz w:val="18"/>
                <w:szCs w:val="18"/>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896"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其他</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6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52" w:type="pct"/>
            <w:vMerge w:val="continue"/>
            <w:tcBorders>
              <w:top w:val="single" w:color="auto" w:sz="4" w:space="0"/>
              <w:left w:val="nil"/>
              <w:bottom w:val="single" w:color="auto" w:sz="4" w:space="0"/>
              <w:right w:val="nil"/>
            </w:tcBorders>
            <w:vAlign w:val="center"/>
          </w:tcPr>
          <w:p>
            <w:pPr>
              <w:widowControl/>
              <w:jc w:val="left"/>
              <w:rPr>
                <w:rFonts w:cs="宋体" w:asciiTheme="minorEastAsia" w:hAnsiTheme="minorEastAsia" w:eastAsiaTheme="minorEastAsia"/>
                <w:color w:val="000000"/>
                <w:kern w:val="0"/>
                <w:sz w:val="18"/>
                <w:szCs w:val="18"/>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整体绩效目标实现情况（60分）</w:t>
            </w:r>
          </w:p>
        </w:tc>
      </w:tr>
      <w:tr>
        <w:tblPrEx>
          <w:tblCellMar>
            <w:top w:w="0" w:type="dxa"/>
            <w:left w:w="108" w:type="dxa"/>
            <w:bottom w:w="0" w:type="dxa"/>
            <w:right w:w="108" w:type="dxa"/>
          </w:tblCellMar>
        </w:tblPrEx>
        <w:trPr>
          <w:trHeight w:val="499" w:hRule="atLeast"/>
        </w:trPr>
        <w:tc>
          <w:tcPr>
            <w:tcW w:w="28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w:t>
            </w:r>
            <w:r>
              <w:rPr>
                <w:rFonts w:cs="宋体" w:asciiTheme="minorEastAsia" w:hAnsiTheme="minorEastAsia" w:eastAsiaTheme="minorEastAsia"/>
                <w:color w:val="000000"/>
                <w:kern w:val="0"/>
                <w:sz w:val="18"/>
                <w:szCs w:val="18"/>
              </w:rPr>
              <w:t>级指标</w:t>
            </w:r>
          </w:p>
        </w:tc>
        <w:tc>
          <w:tcPr>
            <w:tcW w:w="287"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w:t>
            </w:r>
            <w:r>
              <w:rPr>
                <w:rFonts w:cs="宋体" w:asciiTheme="minorEastAsia" w:hAnsiTheme="minorEastAsia" w:eastAsiaTheme="minorEastAsia"/>
                <w:color w:val="000000"/>
                <w:kern w:val="0"/>
                <w:sz w:val="18"/>
                <w:szCs w:val="18"/>
              </w:rPr>
              <w:t>级指标</w:t>
            </w:r>
            <w:r>
              <w:rPr>
                <w:rFonts w:hint="eastAsia" w:cs="宋体" w:asciiTheme="minorEastAsia" w:hAnsiTheme="minorEastAsia" w:eastAsiaTheme="minorEastAsia"/>
                <w:color w:val="000000"/>
                <w:kern w:val="0"/>
                <w:sz w:val="18"/>
                <w:szCs w:val="18"/>
              </w:rPr>
              <w:t>　</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w:t>
            </w:r>
            <w:r>
              <w:rPr>
                <w:rFonts w:cs="宋体" w:asciiTheme="minorEastAsia" w:hAnsiTheme="minorEastAsia" w:eastAsiaTheme="minorEastAsia"/>
                <w:color w:val="000000"/>
                <w:kern w:val="0"/>
                <w:sz w:val="18"/>
                <w:szCs w:val="18"/>
              </w:rPr>
              <w:t>级指标</w:t>
            </w:r>
            <w:r>
              <w:rPr>
                <w:rFonts w:hint="eastAsia" w:cs="宋体" w:asciiTheme="minorEastAsia" w:hAnsiTheme="minorEastAsia" w:eastAsiaTheme="minorEastAsia"/>
                <w:color w:val="000000"/>
                <w:kern w:val="0"/>
                <w:sz w:val="18"/>
                <w:szCs w:val="18"/>
              </w:rPr>
              <w:t>　</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指标值</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完成值</w:t>
            </w:r>
          </w:p>
        </w:tc>
        <w:tc>
          <w:tcPr>
            <w:tcW w:w="35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分值</w:t>
            </w:r>
          </w:p>
        </w:tc>
        <w:tc>
          <w:tcPr>
            <w:tcW w:w="352" w:type="pct"/>
            <w:tcBorders>
              <w:top w:val="single" w:color="auto" w:sz="4" w:space="0"/>
              <w:left w:val="nil"/>
              <w:bottom w:val="single" w:color="auto" w:sz="4" w:space="0"/>
              <w:right w:val="nil"/>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得分</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指标</w:t>
            </w:r>
            <w:r>
              <w:rPr>
                <w:rFonts w:cs="宋体" w:asciiTheme="minorEastAsia" w:hAnsiTheme="minorEastAsia" w:eastAsiaTheme="minorEastAsia"/>
                <w:bCs/>
                <w:color w:val="000000"/>
                <w:kern w:val="0"/>
                <w:sz w:val="18"/>
                <w:szCs w:val="18"/>
              </w:rPr>
              <w:t>解释</w:t>
            </w:r>
          </w:p>
        </w:tc>
        <w:tc>
          <w:tcPr>
            <w:tcW w:w="100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评</w:t>
            </w:r>
            <w:r>
              <w:rPr>
                <w:rFonts w:cs="宋体" w:asciiTheme="minorEastAsia" w:hAnsiTheme="minorEastAsia" w:eastAsiaTheme="minorEastAsia"/>
                <w:color w:val="000000"/>
                <w:kern w:val="0"/>
                <w:sz w:val="18"/>
                <w:szCs w:val="18"/>
              </w:rPr>
              <w:t>分标准</w:t>
            </w:r>
          </w:p>
        </w:tc>
      </w:tr>
      <w:tr>
        <w:tblPrEx>
          <w:tblCellMar>
            <w:top w:w="0" w:type="dxa"/>
            <w:left w:w="108" w:type="dxa"/>
            <w:bottom w:w="0" w:type="dxa"/>
            <w:right w:w="108" w:type="dxa"/>
          </w:tblCellMar>
        </w:tblPrEx>
        <w:trPr>
          <w:trHeight w:val="2763"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整体绩效目标实现情况（60）</w:t>
            </w:r>
          </w:p>
        </w:tc>
        <w:tc>
          <w:tcPr>
            <w:tcW w:w="287" w:type="pct"/>
            <w:vMerge w:val="restart"/>
            <w:tcBorders>
              <w:top w:val="single" w:color="auto" w:sz="4" w:space="0"/>
              <w:left w:val="nil"/>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p>
          <w:p>
            <w:pPr>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产出（30）</w:t>
            </w:r>
          </w:p>
        </w:tc>
        <w:tc>
          <w:tcPr>
            <w:tcW w:w="473" w:type="pct"/>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产出数量指标</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highlight w:val="none"/>
              </w:rPr>
            </w:pPr>
            <w:r>
              <w:rPr>
                <w:rFonts w:hint="eastAsia" w:asciiTheme="minorEastAsia" w:hAnsiTheme="minorEastAsia" w:eastAsiaTheme="minorEastAsia"/>
                <w:color w:val="000000"/>
                <w:sz w:val="18"/>
                <w:szCs w:val="18"/>
                <w:highlight w:val="none"/>
              </w:rPr>
              <w:t>开展政协全体会议、常务委员会会、主席会和专门委员会等会议；组织委员视察、参观和调查；整理报送调研报告、提案、建议案；组织委员学习交流、培训、组织专题报告会、情况通报会等活动；搭建履职平台，健全委员履职评价</w:t>
            </w:r>
          </w:p>
        </w:tc>
        <w:tc>
          <w:tcPr>
            <w:tcW w:w="634"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部门产出数量符合绩效目标</w:t>
            </w:r>
          </w:p>
        </w:tc>
        <w:tc>
          <w:tcPr>
            <w:tcW w:w="352"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352" w:type="pct"/>
            <w:tcBorders>
              <w:top w:val="single" w:color="auto" w:sz="4" w:space="0"/>
              <w:left w:val="nil"/>
              <w:bottom w:val="single" w:color="auto" w:sz="4" w:space="0"/>
              <w:right w:val="nil"/>
            </w:tcBorders>
            <w:vAlign w:val="center"/>
          </w:tcPr>
          <w:p>
            <w:pPr>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93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产出数量</w:t>
            </w:r>
            <w:r>
              <w:rPr>
                <w:rFonts w:hint="eastAsia" w:cs="宋体" w:asciiTheme="minorEastAsia" w:hAnsiTheme="minorEastAsia" w:eastAsiaTheme="minorEastAsia"/>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cs="宋体" w:asciiTheme="minorEastAsia" w:hAnsiTheme="minorEastAsia" w:eastAsiaTheme="minorEastAsia"/>
                <w:b/>
                <w:bCs/>
                <w:color w:val="000000"/>
                <w:kern w:val="0"/>
                <w:sz w:val="18"/>
                <w:szCs w:val="18"/>
              </w:rPr>
              <w:t>产出质量</w:t>
            </w:r>
            <w:r>
              <w:rPr>
                <w:rFonts w:hint="eastAsia" w:cs="宋体" w:asciiTheme="minorEastAsia" w:hAnsiTheme="minorEastAsia" w:eastAsiaTheme="minorEastAsia"/>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cs="宋体" w:asciiTheme="minorEastAsia" w:hAnsiTheme="minorEastAsia" w:eastAsiaTheme="minorEastAsia"/>
                <w:b/>
                <w:bCs/>
                <w:color w:val="000000"/>
                <w:kern w:val="0"/>
                <w:sz w:val="18"/>
                <w:szCs w:val="18"/>
              </w:rPr>
              <w:t>产出进度：</w:t>
            </w:r>
            <w:r>
              <w:rPr>
                <w:rFonts w:hint="eastAsia" w:cs="宋体" w:asciiTheme="minorEastAsia" w:hAnsiTheme="minorEastAsia" w:eastAsiaTheme="minorEastAsia"/>
                <w:color w:val="000000"/>
                <w:kern w:val="0"/>
                <w:sz w:val="18"/>
                <w:szCs w:val="18"/>
              </w:rPr>
              <w:t>按时完成率=（按时完成工作数/实际完成工作数）×100%。按时完成工作数：部门（单位）按照整体绩效目标确定的时限实际完成的工作任务数量。</w:t>
            </w:r>
            <w:r>
              <w:rPr>
                <w:rFonts w:hint="eastAsia" w:cs="宋体" w:asciiTheme="minorEastAsia" w:hAnsiTheme="minorEastAsia" w:eastAsiaTheme="minorEastAsia"/>
                <w:b/>
                <w:bCs/>
                <w:color w:val="000000"/>
                <w:kern w:val="0"/>
                <w:sz w:val="18"/>
                <w:szCs w:val="18"/>
              </w:rPr>
              <w:t>产出成本</w:t>
            </w:r>
            <w:r>
              <w:rPr>
                <w:rFonts w:hint="eastAsia" w:cs="宋体" w:asciiTheme="minorEastAsia" w:hAnsiTheme="minorEastAsia" w:eastAsiaTheme="minorEastAsia"/>
                <w:color w:val="000000"/>
                <w:kern w:val="0"/>
                <w:sz w:val="18"/>
                <w:szCs w:val="18"/>
              </w:rPr>
              <w:t>：单位产出相对于上一年度的节约额；②单位产出相对于市场同类产出的节约额；③部门公用经费的控制情况。</w:t>
            </w:r>
          </w:p>
        </w:tc>
        <w:tc>
          <w:tcPr>
            <w:tcW w:w="100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3889"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yellow"/>
              </w:rPr>
            </w:pP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kern w:val="0"/>
                <w:sz w:val="18"/>
                <w:szCs w:val="18"/>
                <w:highlight w:val="none"/>
              </w:rPr>
              <w:t>产出质量指标</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不断提高委员履行能力，促进委员拓宽视野、增长知识、知情明政，规范委员履职服务管理</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部门产出质量符合绩效目标，支撑材料待进一步收集整理</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3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9</w:t>
            </w: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414"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yellow"/>
              </w:rPr>
            </w:pPr>
          </w:p>
        </w:tc>
        <w:tc>
          <w:tcPr>
            <w:tcW w:w="473"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kern w:val="0"/>
                <w:sz w:val="18"/>
                <w:szCs w:val="18"/>
                <w:highlight w:val="none"/>
              </w:rPr>
              <w:t>产出进度指标</w:t>
            </w:r>
          </w:p>
        </w:tc>
        <w:tc>
          <w:tcPr>
            <w:tcW w:w="6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按时完成全年项目</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sz w:val="18"/>
                <w:szCs w:val="18"/>
                <w:highlight w:val="none"/>
                <w:lang w:eastAsia="zh-CN"/>
              </w:rPr>
              <w:t>2022</w:t>
            </w:r>
            <w:r>
              <w:rPr>
                <w:rFonts w:hint="eastAsia" w:asciiTheme="minorEastAsia" w:hAnsiTheme="minorEastAsia" w:eastAsiaTheme="minorEastAsia"/>
                <w:sz w:val="18"/>
                <w:szCs w:val="18"/>
                <w:highlight w:val="none"/>
              </w:rPr>
              <w:t>年全年执行项目，支出进度</w:t>
            </w:r>
            <w:r>
              <w:rPr>
                <w:rFonts w:hint="eastAsia" w:cs="宋体" w:asciiTheme="minorEastAsia" w:hAnsiTheme="minorEastAsia" w:eastAsiaTheme="minorEastAsia"/>
                <w:color w:val="000000"/>
                <w:kern w:val="0"/>
                <w:sz w:val="18"/>
                <w:szCs w:val="18"/>
                <w:highlight w:val="none"/>
                <w:lang w:val="en-US" w:eastAsia="zh-CN"/>
              </w:rPr>
              <w:t>96.79%</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5</w:t>
            </w:r>
          </w:p>
        </w:tc>
        <w:tc>
          <w:tcPr>
            <w:tcW w:w="3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5</w:t>
            </w: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yellow"/>
              </w:rPr>
            </w:pPr>
          </w:p>
        </w:tc>
        <w:tc>
          <w:tcPr>
            <w:tcW w:w="473"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kern w:val="0"/>
                <w:sz w:val="18"/>
                <w:szCs w:val="18"/>
                <w:highlight w:val="none"/>
              </w:rPr>
              <w:t>产出成本指标</w:t>
            </w:r>
          </w:p>
        </w:tc>
        <w:tc>
          <w:tcPr>
            <w:tcW w:w="6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color w:val="000000"/>
                <w:sz w:val="18"/>
                <w:szCs w:val="18"/>
                <w:highlight w:val="none"/>
              </w:rPr>
              <w:t>部门整体支出控制在预算范围内</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年度预算执行</w:t>
            </w:r>
            <w:r>
              <w:rPr>
                <w:rFonts w:hint="eastAsia" w:cs="宋体" w:asciiTheme="minorEastAsia" w:hAnsiTheme="minorEastAsia" w:eastAsiaTheme="minorEastAsia"/>
                <w:color w:val="000000"/>
                <w:kern w:val="0"/>
                <w:sz w:val="18"/>
                <w:szCs w:val="18"/>
                <w:highlight w:val="none"/>
                <w:lang w:val="en-US" w:eastAsia="zh-CN"/>
              </w:rPr>
              <w:t>15</w:t>
            </w:r>
            <w:r>
              <w:rPr>
                <w:rFonts w:hint="eastAsia" w:cs="宋体" w:asciiTheme="minorEastAsia" w:hAnsiTheme="minorEastAsia" w:eastAsiaTheme="minorEastAsia"/>
                <w:color w:val="000000"/>
                <w:kern w:val="0"/>
                <w:sz w:val="18"/>
                <w:szCs w:val="18"/>
                <w:highlight w:val="none"/>
              </w:rPr>
              <w:t>,</w:t>
            </w:r>
            <w:r>
              <w:rPr>
                <w:rFonts w:hint="eastAsia" w:cs="宋体" w:asciiTheme="minorEastAsia" w:hAnsiTheme="minorEastAsia" w:eastAsiaTheme="minorEastAsia"/>
                <w:color w:val="000000"/>
                <w:kern w:val="0"/>
                <w:sz w:val="18"/>
                <w:szCs w:val="18"/>
                <w:highlight w:val="none"/>
                <w:lang w:val="en-US" w:eastAsia="zh-CN"/>
              </w:rPr>
              <w:t>270.59</w:t>
            </w:r>
            <w:r>
              <w:rPr>
                <w:rFonts w:hint="eastAsia" w:asciiTheme="minorEastAsia" w:hAnsiTheme="minorEastAsia" w:eastAsiaTheme="minorEastAsia"/>
                <w:color w:val="000000"/>
                <w:sz w:val="18"/>
                <w:szCs w:val="18"/>
                <w:highlight w:val="none"/>
              </w:rPr>
              <w:t>万元，控制在预算范围内</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5</w:t>
            </w:r>
          </w:p>
        </w:tc>
        <w:tc>
          <w:tcPr>
            <w:tcW w:w="3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5</w:t>
            </w: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75"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效果（30）</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社会效益</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通过部门工作的履职，发挥政协协商、民主监督和参政议政的实效作用</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基本达到预期目标，资料待进一步完善</w:t>
            </w:r>
          </w:p>
        </w:tc>
        <w:tc>
          <w:tcPr>
            <w:tcW w:w="3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3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9.5</w:t>
            </w:r>
          </w:p>
        </w:tc>
        <w:tc>
          <w:tcPr>
            <w:tcW w:w="93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经济效益</w:t>
            </w:r>
            <w:r>
              <w:rPr>
                <w:rFonts w:hint="eastAsia" w:cs="宋体" w:asciiTheme="minorEastAsia" w:hAnsiTheme="minorEastAsia" w:eastAsiaTheme="minorEastAsia"/>
                <w:color w:val="000000"/>
                <w:kern w:val="0"/>
                <w:sz w:val="18"/>
                <w:szCs w:val="18"/>
              </w:rPr>
              <w:t>：部门（单位）履行职责对经济发展所带来的直接或间接影响。</w:t>
            </w:r>
            <w:r>
              <w:rPr>
                <w:rFonts w:hint="eastAsia" w:cs="宋体" w:asciiTheme="minorEastAsia" w:hAnsiTheme="minorEastAsia" w:eastAsiaTheme="minorEastAsia"/>
                <w:b/>
                <w:bCs/>
                <w:color w:val="000000"/>
                <w:kern w:val="0"/>
                <w:sz w:val="18"/>
                <w:szCs w:val="18"/>
              </w:rPr>
              <w:t>社会效益</w:t>
            </w:r>
            <w:r>
              <w:rPr>
                <w:rFonts w:hint="eastAsia" w:cs="宋体" w:asciiTheme="minorEastAsia" w:hAnsiTheme="minorEastAsia" w:eastAsiaTheme="minorEastAsia"/>
                <w:color w:val="000000"/>
                <w:kern w:val="0"/>
                <w:sz w:val="18"/>
                <w:szCs w:val="18"/>
              </w:rPr>
              <w:t>：部门（单位）履行职责对社会发展所带来的直接或间接影响。</w:t>
            </w:r>
            <w:r>
              <w:rPr>
                <w:rFonts w:hint="eastAsia" w:cs="宋体" w:asciiTheme="minorEastAsia" w:hAnsiTheme="minorEastAsia" w:eastAsiaTheme="minorEastAsia"/>
                <w:b/>
                <w:bCs/>
                <w:color w:val="000000"/>
                <w:kern w:val="0"/>
                <w:sz w:val="18"/>
                <w:szCs w:val="18"/>
              </w:rPr>
              <w:t>环境效益</w:t>
            </w:r>
            <w:r>
              <w:rPr>
                <w:rFonts w:hint="eastAsia" w:cs="宋体" w:asciiTheme="minorEastAsia" w:hAnsiTheme="minorEastAsia" w:eastAsiaTheme="minorEastAsia"/>
                <w:color w:val="000000"/>
                <w:kern w:val="0"/>
                <w:sz w:val="18"/>
                <w:szCs w:val="18"/>
              </w:rPr>
              <w:t>：部门（单位）履行职责对环境所带来的直接或间接影响。</w:t>
            </w:r>
            <w:r>
              <w:rPr>
                <w:rFonts w:hint="eastAsia" w:cs="宋体" w:asciiTheme="minorEastAsia" w:hAnsiTheme="minorEastAsia" w:eastAsiaTheme="minorEastAsia"/>
                <w:b/>
                <w:bCs/>
                <w:color w:val="000000"/>
                <w:kern w:val="0"/>
                <w:sz w:val="18"/>
                <w:szCs w:val="18"/>
              </w:rPr>
              <w:t>可持续性影响：</w:t>
            </w:r>
            <w:r>
              <w:rPr>
                <w:rFonts w:hint="eastAsia" w:cs="宋体" w:asciiTheme="minorEastAsia" w:hAnsiTheme="minorEastAsia" w:eastAsiaTheme="minorEastAsia"/>
                <w:color w:val="000000"/>
                <w:kern w:val="0"/>
                <w:sz w:val="18"/>
                <w:szCs w:val="18"/>
              </w:rPr>
              <w:t>部门绩效目标实现的长效机制建设情况，部门工作效率提升措施的创新。</w:t>
            </w:r>
            <w:r>
              <w:rPr>
                <w:rFonts w:hint="eastAsia" w:cs="宋体" w:asciiTheme="minorEastAsia" w:hAnsiTheme="minorEastAsia" w:eastAsiaTheme="minorEastAsia"/>
                <w:b/>
                <w:bCs/>
                <w:color w:val="000000"/>
                <w:kern w:val="0"/>
                <w:sz w:val="18"/>
                <w:szCs w:val="18"/>
              </w:rPr>
              <w:t>服务对象满意度</w:t>
            </w:r>
            <w:r>
              <w:rPr>
                <w:rFonts w:hint="eastAsia" w:cs="宋体" w:asciiTheme="minorEastAsia" w:hAnsiTheme="minorEastAsia" w:eastAsiaTheme="minorEastAsia"/>
                <w:color w:val="000000"/>
                <w:kern w:val="0"/>
                <w:sz w:val="18"/>
                <w:szCs w:val="18"/>
              </w:rPr>
              <w:t>：部门（单位）的服务对象对部门履职效果的满意程度。</w:t>
            </w:r>
          </w:p>
        </w:tc>
        <w:tc>
          <w:tcPr>
            <w:tcW w:w="1002" w:type="pct"/>
            <w:vMerge w:val="restar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473"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可持续影响</w:t>
            </w:r>
          </w:p>
        </w:tc>
        <w:tc>
          <w:tcPr>
            <w:tcW w:w="6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持续发挥政协履职职能</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基本达到预期目标</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9</w:t>
            </w: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9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473"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服务对象满意度</w:t>
            </w:r>
          </w:p>
        </w:tc>
        <w:tc>
          <w:tcPr>
            <w:tcW w:w="6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cs="宋体" w:asciiTheme="minorEastAsia" w:hAnsiTheme="minorEastAsia" w:eastAsiaTheme="minorEastAsia"/>
                <w:color w:val="000000"/>
                <w:kern w:val="0"/>
                <w:sz w:val="18"/>
                <w:szCs w:val="18"/>
                <w:highlight w:val="none"/>
              </w:rPr>
              <w:t>政府部门、委员、机关工作人员满意度达到90%以上</w:t>
            </w:r>
          </w:p>
        </w:tc>
        <w:tc>
          <w:tcPr>
            <w:tcW w:w="634"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满意度达到目标，满意度调查不够全面，资料待进一步完善</w:t>
            </w:r>
          </w:p>
        </w:tc>
        <w:tc>
          <w:tcPr>
            <w:tcW w:w="35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10</w:t>
            </w:r>
          </w:p>
        </w:tc>
        <w:tc>
          <w:tcPr>
            <w:tcW w:w="352" w:type="pct"/>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9</w:t>
            </w: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002"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三</w:t>
            </w:r>
            <w:r>
              <w:rPr>
                <w:rFonts w:cs="宋体" w:asciiTheme="minorEastAsia" w:hAnsiTheme="minorEastAsia" w:eastAsiaTheme="minorEastAsia"/>
                <w:color w:val="000000"/>
                <w:kern w:val="0"/>
                <w:sz w:val="18"/>
                <w:szCs w:val="18"/>
                <w:highlight w:val="none"/>
              </w:rPr>
              <w:t>、</w:t>
            </w:r>
            <w:r>
              <w:rPr>
                <w:rFonts w:hint="eastAsia" w:cs="宋体" w:asciiTheme="minorEastAsia" w:hAnsiTheme="minorEastAsia" w:eastAsiaTheme="minorEastAsia"/>
                <w:color w:val="000000"/>
                <w:kern w:val="0"/>
                <w:sz w:val="18"/>
                <w:szCs w:val="18"/>
                <w:highlight w:val="none"/>
              </w:rPr>
              <w:t>预算管理情况（20分）</w:t>
            </w:r>
          </w:p>
        </w:tc>
      </w:tr>
      <w:tr>
        <w:tblPrEx>
          <w:tblCellMar>
            <w:top w:w="0" w:type="dxa"/>
            <w:left w:w="108" w:type="dxa"/>
            <w:bottom w:w="0" w:type="dxa"/>
            <w:right w:w="108" w:type="dxa"/>
          </w:tblCellMar>
        </w:tblPrEx>
        <w:trPr>
          <w:trHeight w:val="702" w:hRule="atLeast"/>
        </w:trPr>
        <w:tc>
          <w:tcPr>
            <w:tcW w:w="28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一</w:t>
            </w:r>
            <w:r>
              <w:rPr>
                <w:rFonts w:cs="宋体" w:asciiTheme="minorEastAsia" w:hAnsiTheme="minorEastAsia" w:eastAsiaTheme="minorEastAsia"/>
                <w:color w:val="000000"/>
                <w:kern w:val="0"/>
                <w:sz w:val="18"/>
                <w:szCs w:val="18"/>
                <w:highlight w:val="none"/>
              </w:rPr>
              <w:t>级指标</w:t>
            </w:r>
          </w:p>
        </w:tc>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二</w:t>
            </w:r>
            <w:r>
              <w:rPr>
                <w:rFonts w:cs="宋体" w:asciiTheme="minorEastAsia" w:hAnsiTheme="minorEastAsia" w:eastAsiaTheme="minorEastAsia"/>
                <w:color w:val="000000"/>
                <w:kern w:val="0"/>
                <w:sz w:val="18"/>
                <w:szCs w:val="18"/>
                <w:highlight w:val="none"/>
              </w:rPr>
              <w:t>级指标</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三</w:t>
            </w:r>
            <w:r>
              <w:rPr>
                <w:rFonts w:cs="宋体" w:asciiTheme="minorEastAsia" w:hAnsiTheme="minorEastAsia" w:eastAsiaTheme="minorEastAsia"/>
                <w:color w:val="000000"/>
                <w:kern w:val="0"/>
                <w:sz w:val="18"/>
                <w:szCs w:val="18"/>
                <w:highlight w:val="none"/>
              </w:rPr>
              <w:t>级指标</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指标</w:t>
            </w:r>
            <w:r>
              <w:rPr>
                <w:rFonts w:cs="宋体" w:asciiTheme="minorEastAsia" w:hAnsiTheme="minorEastAsia" w:eastAsiaTheme="minorEastAsia"/>
                <w:color w:val="000000"/>
                <w:kern w:val="0"/>
                <w:sz w:val="18"/>
                <w:szCs w:val="18"/>
                <w:highlight w:val="none"/>
              </w:rPr>
              <w:t>值</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完成</w:t>
            </w:r>
            <w:r>
              <w:rPr>
                <w:rFonts w:cs="宋体" w:asciiTheme="minorEastAsia" w:hAnsiTheme="minorEastAsia" w:eastAsiaTheme="minorEastAsia"/>
                <w:color w:val="000000"/>
                <w:kern w:val="0"/>
                <w:sz w:val="18"/>
                <w:szCs w:val="18"/>
                <w:highlight w:val="none"/>
              </w:rPr>
              <w:t>值</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分</w:t>
            </w:r>
            <w:r>
              <w:rPr>
                <w:rFonts w:cs="宋体" w:asciiTheme="minorEastAsia" w:hAnsiTheme="minorEastAsia" w:eastAsiaTheme="minorEastAsia"/>
                <w:color w:val="000000"/>
                <w:kern w:val="0"/>
                <w:sz w:val="18"/>
                <w:szCs w:val="18"/>
                <w:highlight w:val="none"/>
              </w:rPr>
              <w:t>值</w:t>
            </w:r>
          </w:p>
        </w:tc>
        <w:tc>
          <w:tcPr>
            <w:tcW w:w="352" w:type="pct"/>
            <w:tcBorders>
              <w:top w:val="single" w:color="auto" w:sz="4" w:space="0"/>
              <w:left w:val="nil"/>
              <w:bottom w:val="single" w:color="auto" w:sz="4" w:space="0"/>
              <w:right w:val="nil"/>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得</w:t>
            </w:r>
            <w:r>
              <w:rPr>
                <w:rFonts w:cs="宋体" w:asciiTheme="minorEastAsia" w:hAnsiTheme="minorEastAsia" w:eastAsiaTheme="minorEastAsia"/>
                <w:color w:val="000000"/>
                <w:kern w:val="0"/>
                <w:sz w:val="18"/>
                <w:szCs w:val="18"/>
                <w:highlight w:val="none"/>
              </w:rPr>
              <w:t>分</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18"/>
                <w:szCs w:val="18"/>
                <w:highlight w:val="none"/>
              </w:rPr>
            </w:pPr>
            <w:r>
              <w:rPr>
                <w:rFonts w:hint="eastAsia" w:cs="宋体" w:asciiTheme="minorEastAsia" w:hAnsiTheme="minorEastAsia" w:eastAsiaTheme="minorEastAsia"/>
                <w:bCs/>
                <w:color w:val="000000"/>
                <w:kern w:val="0"/>
                <w:sz w:val="18"/>
                <w:szCs w:val="18"/>
                <w:highlight w:val="none"/>
              </w:rPr>
              <w:t>指标</w:t>
            </w:r>
            <w:r>
              <w:rPr>
                <w:rFonts w:cs="宋体" w:asciiTheme="minorEastAsia" w:hAnsiTheme="minorEastAsia" w:eastAsiaTheme="minorEastAsia"/>
                <w:bCs/>
                <w:color w:val="000000"/>
                <w:kern w:val="0"/>
                <w:sz w:val="18"/>
                <w:szCs w:val="18"/>
                <w:highlight w:val="none"/>
              </w:rPr>
              <w:t>解释</w:t>
            </w:r>
          </w:p>
        </w:tc>
        <w:tc>
          <w:tcPr>
            <w:tcW w:w="100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评</w:t>
            </w:r>
            <w:r>
              <w:rPr>
                <w:rFonts w:cs="宋体" w:asciiTheme="minorEastAsia" w:hAnsiTheme="minorEastAsia" w:eastAsiaTheme="minorEastAsia"/>
                <w:color w:val="000000"/>
                <w:kern w:val="0"/>
                <w:sz w:val="18"/>
                <w:szCs w:val="18"/>
                <w:highlight w:val="none"/>
              </w:rPr>
              <w:t>分标准</w:t>
            </w:r>
          </w:p>
        </w:tc>
      </w:tr>
      <w:tr>
        <w:tblPrEx>
          <w:tblCellMar>
            <w:top w:w="0" w:type="dxa"/>
            <w:left w:w="108" w:type="dxa"/>
            <w:bottom w:w="0" w:type="dxa"/>
            <w:right w:w="108" w:type="dxa"/>
          </w:tblCellMar>
        </w:tblPrEx>
        <w:trPr>
          <w:trHeight w:val="123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预算管理情况（20）</w:t>
            </w:r>
          </w:p>
        </w:tc>
        <w:tc>
          <w:tcPr>
            <w:tcW w:w="2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财务管理（4）</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财务管理制度健全性</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asciiTheme="minorEastAsia" w:hAnsiTheme="minorEastAsia" w:eastAsiaTheme="minorEastAsia"/>
                <w:color w:val="000000"/>
                <w:sz w:val="18"/>
                <w:szCs w:val="18"/>
                <w:highlight w:val="none"/>
              </w:rPr>
              <w:t>建立相关财务管理制度，且完整、合规</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财务管理相关制度健全，制度内容完整、合规</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w:t>
            </w:r>
          </w:p>
        </w:tc>
        <w:tc>
          <w:tcPr>
            <w:tcW w:w="352" w:type="pct"/>
            <w:tcBorders>
              <w:top w:val="single" w:color="auto" w:sz="4" w:space="0"/>
              <w:left w:val="nil"/>
              <w:bottom w:val="single" w:color="auto" w:sz="4" w:space="0"/>
              <w:right w:val="nil"/>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　1</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财务管理制度健全性:</w:t>
            </w:r>
            <w:r>
              <w:rPr>
                <w:rFonts w:hint="eastAsia" w:cs="宋体" w:asciiTheme="minorEastAsia" w:hAnsiTheme="minorEastAsia" w:eastAsiaTheme="minorEastAsia"/>
                <w:color w:val="000000"/>
                <w:kern w:val="0"/>
                <w:sz w:val="18"/>
                <w:szCs w:val="18"/>
                <w:highlight w:val="none"/>
              </w:rPr>
              <w:t>部门（单位）为加强财务管理、规范财务行为而制定的管理制度。</w:t>
            </w:r>
          </w:p>
        </w:tc>
        <w:tc>
          <w:tcPr>
            <w:tcW w:w="1002" w:type="pct"/>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28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资金使用合规性和安全性</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预算资金符合相关制度要求，符合规定的开支范围，</w:t>
            </w:r>
            <w:r>
              <w:rPr>
                <w:rFonts w:hint="eastAsia" w:asciiTheme="minorEastAsia" w:hAnsiTheme="minorEastAsia" w:eastAsiaTheme="minorEastAsia"/>
                <w:color w:val="000000"/>
                <w:sz w:val="18"/>
                <w:szCs w:val="18"/>
                <w:highlight w:val="none"/>
              </w:rPr>
              <w:t>使用合规、安全</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符合国家财经法规和财务管理制度规定，有完整的审批程序和手续，资金使用规范</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2</w:t>
            </w:r>
          </w:p>
        </w:tc>
        <w:tc>
          <w:tcPr>
            <w:tcW w:w="352" w:type="pct"/>
            <w:tcBorders>
              <w:top w:val="single" w:color="auto" w:sz="4" w:space="0"/>
              <w:left w:val="nil"/>
              <w:bottom w:val="single" w:color="auto" w:sz="4" w:space="0"/>
              <w:right w:val="nil"/>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2　</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资金使用合规性和安全性:</w:t>
            </w:r>
            <w:r>
              <w:rPr>
                <w:rFonts w:hint="eastAsia" w:cs="宋体" w:asciiTheme="minorEastAsia" w:hAnsiTheme="minorEastAsia" w:eastAsiaTheme="minorEastAsia"/>
                <w:color w:val="000000"/>
                <w:kern w:val="0"/>
                <w:sz w:val="18"/>
                <w:szCs w:val="18"/>
                <w:highlight w:val="none"/>
              </w:rPr>
              <w:t>部门（单位）使用预算资金是否符合相关的预算财务管理制度的规定，是否符合相关规定的开支范围，用以反映考核部门（单位）预算资金的规范运行和安全运行情况。</w:t>
            </w:r>
          </w:p>
        </w:tc>
        <w:tc>
          <w:tcPr>
            <w:tcW w:w="1002" w:type="pct"/>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473"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会计基础信息完善性</w:t>
            </w:r>
          </w:p>
        </w:tc>
        <w:tc>
          <w:tcPr>
            <w:tcW w:w="6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会计基础信息真实、完整、准确</w:t>
            </w:r>
          </w:p>
        </w:tc>
        <w:tc>
          <w:tcPr>
            <w:tcW w:w="634"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基础数据信息和会计信息资料真实、完整、准确</w:t>
            </w:r>
          </w:p>
        </w:tc>
        <w:tc>
          <w:tcPr>
            <w:tcW w:w="352" w:type="pct"/>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w:t>
            </w:r>
          </w:p>
        </w:tc>
        <w:tc>
          <w:tcPr>
            <w:tcW w:w="352" w:type="pct"/>
            <w:tcBorders>
              <w:top w:val="nil"/>
              <w:left w:val="nil"/>
              <w:bottom w:val="single" w:color="auto" w:sz="4" w:space="0"/>
              <w:right w:val="nil"/>
            </w:tcBorders>
            <w:noWrap/>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1</w:t>
            </w:r>
          </w:p>
        </w:tc>
        <w:tc>
          <w:tcPr>
            <w:tcW w:w="933" w:type="pc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会计基础信息完善性:</w:t>
            </w:r>
            <w:r>
              <w:rPr>
                <w:rFonts w:hint="eastAsia" w:cs="宋体" w:asciiTheme="minorEastAsia" w:hAnsiTheme="minorEastAsia" w:eastAsiaTheme="minorEastAsia"/>
                <w:color w:val="000000"/>
                <w:kern w:val="0"/>
                <w:sz w:val="18"/>
                <w:szCs w:val="18"/>
                <w:highlight w:val="none"/>
              </w:rPr>
              <w:t>部门（单位）会计基础信息情况。</w:t>
            </w:r>
          </w:p>
        </w:tc>
        <w:tc>
          <w:tcPr>
            <w:tcW w:w="1002" w:type="pct"/>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资产管理（4）</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资产管理规范性</w:t>
            </w:r>
          </w:p>
        </w:tc>
        <w:tc>
          <w:tcPr>
            <w:tcW w:w="67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资产管理制度健全，资产安全完整，资产使用规范</w:t>
            </w:r>
          </w:p>
          <w:p>
            <w:pPr>
              <w:widowControl/>
              <w:jc w:val="center"/>
              <w:rPr>
                <w:rFonts w:cs="宋体" w:asciiTheme="minorEastAsia" w:hAnsiTheme="minorEastAsia" w:eastAsiaTheme="minorEastAsia"/>
                <w:color w:val="000000"/>
                <w:kern w:val="0"/>
                <w:sz w:val="18"/>
                <w:szCs w:val="18"/>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资产管理制度基本健全，资产安全完整，资产使用规范</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4</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4　</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资产管理规范性:</w:t>
            </w:r>
            <w:r>
              <w:rPr>
                <w:rFonts w:hint="eastAsia" w:cs="宋体" w:asciiTheme="minorEastAsia" w:hAnsiTheme="minorEastAsia" w:eastAsiaTheme="minorEastAsia"/>
                <w:color w:val="000000"/>
                <w:kern w:val="0"/>
                <w:sz w:val="18"/>
                <w:szCs w:val="18"/>
                <w:highlight w:val="none"/>
              </w:rPr>
              <w:t>部门（单位）的资产是否保持安全完整，资产配置是否合理，资产使用和资产处理是否规范，用以反映和考核部门（单位）资产管理的整体水平。</w:t>
            </w:r>
          </w:p>
        </w:tc>
        <w:tc>
          <w:tcPr>
            <w:tcW w:w="1002"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p>
        </w:tc>
        <w:tc>
          <w:tcPr>
            <w:tcW w:w="287"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绩效管理（4）</w:t>
            </w:r>
          </w:p>
        </w:tc>
        <w:tc>
          <w:tcPr>
            <w:tcW w:w="473"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绩效管理情况</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开展绩效工作，对绩效信息进行汇总整理；对绩效目标偏离情况及时进行矫正。</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按规定开展绩效工作，及时对绩效信息进行汇总分析整理；对绩效目标偏离情况及时进行矫正</w:t>
            </w:r>
          </w:p>
        </w:tc>
        <w:tc>
          <w:tcPr>
            <w:tcW w:w="35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4</w:t>
            </w:r>
          </w:p>
        </w:tc>
        <w:tc>
          <w:tcPr>
            <w:tcW w:w="352" w:type="pct"/>
            <w:tcBorders>
              <w:top w:val="single" w:color="auto" w:sz="4" w:space="0"/>
              <w:left w:val="nil"/>
              <w:bottom w:val="single" w:color="auto" w:sz="4" w:space="0"/>
              <w:right w:val="nil"/>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4</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绩效管理情况:</w:t>
            </w:r>
            <w:r>
              <w:rPr>
                <w:rFonts w:hint="eastAsia" w:cs="宋体" w:asciiTheme="minorEastAsia" w:hAnsiTheme="minorEastAsia" w:eastAsiaTheme="minorEastAsia"/>
                <w:color w:val="000000"/>
                <w:kern w:val="0"/>
                <w:sz w:val="18"/>
                <w:szCs w:val="18"/>
                <w:highlight w:val="none"/>
              </w:rPr>
              <w:t>考核部门（单位）在绩效管理信息的汇总和应用情况。</w:t>
            </w:r>
          </w:p>
        </w:tc>
        <w:tc>
          <w:tcPr>
            <w:tcW w:w="1002" w:type="pct"/>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指标　</w:t>
            </w:r>
          </w:p>
        </w:tc>
        <w:tc>
          <w:tcPr>
            <w:tcW w:w="1151" w:type="pct"/>
            <w:gridSpan w:val="2"/>
            <w:tcBorders>
              <w:top w:val="single" w:color="auto" w:sz="4" w:space="0"/>
              <w:left w:val="nil"/>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202</w:t>
            </w:r>
            <w:r>
              <w:rPr>
                <w:rFonts w:hint="eastAsia" w:cs="宋体" w:asciiTheme="minorEastAsia" w:hAnsiTheme="minorEastAsia" w:eastAsiaTheme="minorEastAsia"/>
                <w:color w:val="000000"/>
                <w:kern w:val="0"/>
                <w:sz w:val="18"/>
                <w:szCs w:val="18"/>
                <w:highlight w:val="none"/>
                <w:lang w:val="en-US" w:eastAsia="zh-CN"/>
              </w:rPr>
              <w:t>1</w:t>
            </w:r>
            <w:r>
              <w:rPr>
                <w:rFonts w:hint="eastAsia" w:cs="宋体" w:asciiTheme="minorEastAsia" w:hAnsiTheme="minorEastAsia" w:eastAsiaTheme="minorEastAsia"/>
                <w:color w:val="000000"/>
                <w:kern w:val="0"/>
                <w:sz w:val="18"/>
                <w:szCs w:val="18"/>
                <w:highlight w:val="none"/>
              </w:rPr>
              <w:t>年</w:t>
            </w:r>
          </w:p>
        </w:tc>
        <w:tc>
          <w:tcPr>
            <w:tcW w:w="634"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eastAsia="zh-CN"/>
              </w:rPr>
              <w:t>2022</w:t>
            </w:r>
            <w:r>
              <w:rPr>
                <w:rFonts w:hint="eastAsia" w:cs="宋体" w:asciiTheme="minorEastAsia" w:hAnsiTheme="minorEastAsia" w:eastAsiaTheme="minorEastAsia"/>
                <w:color w:val="000000"/>
                <w:kern w:val="0"/>
                <w:sz w:val="18"/>
                <w:szCs w:val="18"/>
                <w:highlight w:val="none"/>
              </w:rPr>
              <w:t>年</w:t>
            </w:r>
          </w:p>
        </w:tc>
        <w:tc>
          <w:tcPr>
            <w:tcW w:w="35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分值</w:t>
            </w:r>
          </w:p>
        </w:tc>
        <w:tc>
          <w:tcPr>
            <w:tcW w:w="35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得分</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Cs/>
                <w:color w:val="000000"/>
                <w:kern w:val="0"/>
                <w:sz w:val="18"/>
                <w:szCs w:val="18"/>
              </w:rPr>
              <w:t>指标</w:t>
            </w:r>
            <w:r>
              <w:rPr>
                <w:rFonts w:cs="宋体" w:asciiTheme="minorEastAsia" w:hAnsiTheme="minorEastAsia" w:eastAsiaTheme="minorEastAsia"/>
                <w:bCs/>
                <w:color w:val="000000"/>
                <w:kern w:val="0"/>
                <w:sz w:val="18"/>
                <w:szCs w:val="18"/>
              </w:rPr>
              <w:t>解释</w:t>
            </w:r>
          </w:p>
        </w:tc>
        <w:tc>
          <w:tcPr>
            <w:tcW w:w="1002"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评</w:t>
            </w:r>
            <w:r>
              <w:rPr>
                <w:rFonts w:cs="宋体" w:asciiTheme="minorEastAsia" w:hAnsiTheme="minorEastAsia" w:eastAsiaTheme="minorEastAsia"/>
                <w:color w:val="000000"/>
                <w:kern w:val="0"/>
                <w:sz w:val="18"/>
                <w:szCs w:val="18"/>
              </w:rPr>
              <w:t>分标准</w:t>
            </w:r>
          </w:p>
        </w:tc>
      </w:tr>
      <w:tr>
        <w:tblPrEx>
          <w:tblCellMar>
            <w:top w:w="0" w:type="dxa"/>
            <w:left w:w="108" w:type="dxa"/>
            <w:bottom w:w="0" w:type="dxa"/>
            <w:right w:w="108" w:type="dxa"/>
          </w:tblCellMar>
        </w:tblPrEx>
        <w:trPr>
          <w:trHeight w:val="1365"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nil"/>
              <w:left w:val="nil"/>
              <w:bottom w:val="single" w:color="auto" w:sz="4" w:space="0"/>
              <w:right w:val="single" w:color="auto" w:sz="4" w:space="0"/>
            </w:tcBorders>
            <w:vAlign w:val="center"/>
          </w:tcPr>
          <w:p>
            <w:pPr>
              <w:widowControl/>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结转结余率（4）</w:t>
            </w:r>
          </w:p>
        </w:tc>
        <w:tc>
          <w:tcPr>
            <w:tcW w:w="1151" w:type="pct"/>
            <w:gridSpan w:val="2"/>
            <w:tcBorders>
              <w:top w:val="single" w:color="auto" w:sz="4" w:space="0"/>
              <w:left w:val="nil"/>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2.</w:t>
            </w:r>
            <w:r>
              <w:rPr>
                <w:rFonts w:cs="宋体" w:asciiTheme="minorEastAsia" w:hAnsiTheme="minorEastAsia" w:eastAsiaTheme="minorEastAsia"/>
                <w:color w:val="000000"/>
                <w:kern w:val="0"/>
                <w:sz w:val="18"/>
                <w:szCs w:val="18"/>
                <w:highlight w:val="none"/>
              </w:rPr>
              <w:t>36</w:t>
            </w:r>
            <w:r>
              <w:rPr>
                <w:rFonts w:hint="eastAsia" w:cs="宋体" w:asciiTheme="minorEastAsia" w:hAnsiTheme="minorEastAsia" w:eastAsiaTheme="minorEastAsia"/>
                <w:color w:val="000000"/>
                <w:kern w:val="0"/>
                <w:sz w:val="18"/>
                <w:szCs w:val="18"/>
                <w:highlight w:val="none"/>
              </w:rPr>
              <w:t>%</w:t>
            </w:r>
          </w:p>
        </w:tc>
        <w:tc>
          <w:tcPr>
            <w:tcW w:w="634"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18"/>
                <w:szCs w:val="18"/>
                <w:highlight w:val="none"/>
                <w:lang w:val="en-US"/>
              </w:rPr>
            </w:pPr>
            <w:r>
              <w:rPr>
                <w:rFonts w:hint="eastAsia" w:cs="宋体" w:asciiTheme="minorEastAsia" w:hAnsiTheme="minorEastAsia" w:eastAsiaTheme="minorEastAsia"/>
                <w:color w:val="000000"/>
                <w:kern w:val="0"/>
                <w:sz w:val="18"/>
                <w:szCs w:val="18"/>
                <w:highlight w:val="none"/>
                <w:lang w:val="en-US" w:eastAsia="zh-CN"/>
              </w:rPr>
              <w:t>3.31%</w:t>
            </w:r>
          </w:p>
        </w:tc>
        <w:tc>
          <w:tcPr>
            <w:tcW w:w="35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4</w:t>
            </w:r>
          </w:p>
        </w:tc>
        <w:tc>
          <w:tcPr>
            <w:tcW w:w="352" w:type="pct"/>
            <w:tcBorders>
              <w:top w:val="nil"/>
              <w:left w:val="nil"/>
              <w:bottom w:val="single" w:color="auto" w:sz="4" w:space="0"/>
              <w:right w:val="nil"/>
            </w:tcBorders>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3.62</w:t>
            </w:r>
          </w:p>
        </w:tc>
        <w:tc>
          <w:tcPr>
            <w:tcW w:w="933"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结转结余率=结转结余总额/支出预算数×100%。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结转结余总额：部门（单位）本年度的结转资金与结余资金之和。</w:t>
            </w:r>
          </w:p>
        </w:tc>
        <w:tc>
          <w:tcPr>
            <w:tcW w:w="1002" w:type="pct"/>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28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87" w:type="pct"/>
            <w:tcBorders>
              <w:top w:val="nil"/>
              <w:left w:val="nil"/>
              <w:bottom w:val="single" w:color="auto" w:sz="4" w:space="0"/>
              <w:right w:val="single" w:color="auto" w:sz="4" w:space="0"/>
            </w:tcBorders>
            <w:vAlign w:val="center"/>
          </w:tcPr>
          <w:p>
            <w:pPr>
              <w:widowControl/>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部门预决算差异率（4）</w:t>
            </w:r>
          </w:p>
        </w:tc>
        <w:tc>
          <w:tcPr>
            <w:tcW w:w="1151" w:type="pct"/>
            <w:gridSpan w:val="2"/>
            <w:tcBorders>
              <w:top w:val="single" w:color="auto" w:sz="4" w:space="0"/>
              <w:left w:val="nil"/>
              <w:bottom w:val="single" w:color="auto" w:sz="4" w:space="0"/>
              <w:right w:val="nil"/>
            </w:tcBorders>
            <w:vAlign w:val="center"/>
          </w:tcPr>
          <w:p>
            <w:pPr>
              <w:widowControl/>
              <w:jc w:val="center"/>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w:t>
            </w:r>
          </w:p>
        </w:tc>
        <w:tc>
          <w:tcPr>
            <w:tcW w:w="634" w:type="pc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　</w:t>
            </w:r>
            <w:r>
              <w:rPr>
                <w:rFonts w:hint="eastAsia" w:asciiTheme="minorEastAsia" w:hAnsiTheme="minorEastAsia" w:eastAsiaTheme="minorEastAsia"/>
                <w:sz w:val="18"/>
                <w:szCs w:val="18"/>
                <w:highlight w:val="none"/>
                <w:lang w:val="en-US" w:eastAsia="zh-CN"/>
              </w:rPr>
              <w:t>3.99</w:t>
            </w:r>
            <w:r>
              <w:rPr>
                <w:rFonts w:hint="eastAsia" w:asciiTheme="minorEastAsia" w:hAnsiTheme="minorEastAsia" w:eastAsiaTheme="minorEastAsia"/>
                <w:sz w:val="18"/>
                <w:szCs w:val="18"/>
                <w:highlight w:val="none"/>
              </w:rPr>
              <w:t>%低于市级平均差异率</w:t>
            </w:r>
          </w:p>
        </w:tc>
        <w:tc>
          <w:tcPr>
            <w:tcW w:w="352" w:type="pct"/>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4</w:t>
            </w:r>
          </w:p>
        </w:tc>
        <w:tc>
          <w:tcPr>
            <w:tcW w:w="352" w:type="pct"/>
            <w:tcBorders>
              <w:top w:val="nil"/>
              <w:left w:val="nil"/>
              <w:bottom w:val="single" w:color="auto" w:sz="4" w:space="0"/>
              <w:right w:val="nil"/>
            </w:tcBorders>
            <w:vAlign w:val="center"/>
          </w:tcPr>
          <w:p>
            <w:pPr>
              <w:widowControl/>
              <w:jc w:val="center"/>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4　</w:t>
            </w:r>
          </w:p>
        </w:tc>
        <w:tc>
          <w:tcPr>
            <w:tcW w:w="933" w:type="pc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通过年度部门决算与年初部门预算对比，对部门的年度支出情况进行考核，衡量部门预算的约束力。</w:t>
            </w:r>
          </w:p>
        </w:tc>
        <w:tc>
          <w:tcPr>
            <w:tcW w:w="1002" w:type="pct"/>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2359"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合计</w:t>
            </w:r>
          </w:p>
        </w:tc>
        <w:tc>
          <w:tcPr>
            <w:tcW w:w="352" w:type="pct"/>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100</w:t>
            </w:r>
          </w:p>
        </w:tc>
        <w:tc>
          <w:tcPr>
            <w:tcW w:w="352" w:type="pct"/>
            <w:tcBorders>
              <w:top w:val="nil"/>
              <w:left w:val="nil"/>
              <w:bottom w:val="single" w:color="auto" w:sz="4" w:space="0"/>
              <w:right w:val="nil"/>
            </w:tcBorders>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95.51</w:t>
            </w:r>
          </w:p>
        </w:tc>
        <w:tc>
          <w:tcPr>
            <w:tcW w:w="1935"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bl>
    <w:p>
      <w:pPr>
        <w:spacing w:line="20" w:lineRule="exact"/>
        <w:ind w:left="-21" w:leftChars="-10" w:right="42" w:rightChars="20"/>
      </w:pPr>
    </w:p>
    <w:p>
      <w:pPr>
        <w:spacing w:line="600" w:lineRule="exact"/>
        <w:rPr>
          <w:rFonts w:hint="eastAsia" w:ascii="仿宋_GB2312" w:hAnsi="宋体" w:eastAsia="仿宋_GB2312"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9A34CA"/>
    <w:rsid w:val="00023765"/>
    <w:rsid w:val="00036FB0"/>
    <w:rsid w:val="00112E82"/>
    <w:rsid w:val="00172E78"/>
    <w:rsid w:val="001D2657"/>
    <w:rsid w:val="002010E9"/>
    <w:rsid w:val="0030080F"/>
    <w:rsid w:val="003177A3"/>
    <w:rsid w:val="00341979"/>
    <w:rsid w:val="003A72AC"/>
    <w:rsid w:val="003B690F"/>
    <w:rsid w:val="0040320C"/>
    <w:rsid w:val="00415911"/>
    <w:rsid w:val="00497D81"/>
    <w:rsid w:val="004D3455"/>
    <w:rsid w:val="004E2483"/>
    <w:rsid w:val="004E7C3D"/>
    <w:rsid w:val="00517A70"/>
    <w:rsid w:val="0056763D"/>
    <w:rsid w:val="0059477A"/>
    <w:rsid w:val="005C3037"/>
    <w:rsid w:val="005C54D4"/>
    <w:rsid w:val="006144AF"/>
    <w:rsid w:val="00690894"/>
    <w:rsid w:val="006D71E1"/>
    <w:rsid w:val="006F72DD"/>
    <w:rsid w:val="00741CAD"/>
    <w:rsid w:val="00743FA6"/>
    <w:rsid w:val="00753B59"/>
    <w:rsid w:val="0078749F"/>
    <w:rsid w:val="007E07BA"/>
    <w:rsid w:val="00800D4B"/>
    <w:rsid w:val="0085633F"/>
    <w:rsid w:val="008B0540"/>
    <w:rsid w:val="008B1DE2"/>
    <w:rsid w:val="00945BCD"/>
    <w:rsid w:val="009640F9"/>
    <w:rsid w:val="009664F8"/>
    <w:rsid w:val="00993CD8"/>
    <w:rsid w:val="009A34CA"/>
    <w:rsid w:val="00A26604"/>
    <w:rsid w:val="00A47F44"/>
    <w:rsid w:val="00BD3DA5"/>
    <w:rsid w:val="00BD5DEC"/>
    <w:rsid w:val="00BE5F3C"/>
    <w:rsid w:val="00C4505C"/>
    <w:rsid w:val="00C50440"/>
    <w:rsid w:val="00C703D2"/>
    <w:rsid w:val="00C70DC3"/>
    <w:rsid w:val="00C71935"/>
    <w:rsid w:val="00CA04FE"/>
    <w:rsid w:val="00CB3749"/>
    <w:rsid w:val="00CE5222"/>
    <w:rsid w:val="00CF384F"/>
    <w:rsid w:val="00D237CF"/>
    <w:rsid w:val="00DB1A78"/>
    <w:rsid w:val="00DC1667"/>
    <w:rsid w:val="00DD13CB"/>
    <w:rsid w:val="00E15E49"/>
    <w:rsid w:val="00E3144A"/>
    <w:rsid w:val="00E844B2"/>
    <w:rsid w:val="00E956D5"/>
    <w:rsid w:val="00F16848"/>
    <w:rsid w:val="00F23901"/>
    <w:rsid w:val="00F30AD7"/>
    <w:rsid w:val="00F30BAE"/>
    <w:rsid w:val="00F31882"/>
    <w:rsid w:val="00F37ADD"/>
    <w:rsid w:val="00F40829"/>
    <w:rsid w:val="00F532AA"/>
    <w:rsid w:val="00F86D45"/>
    <w:rsid w:val="00FB43EE"/>
    <w:rsid w:val="01053D79"/>
    <w:rsid w:val="01066A48"/>
    <w:rsid w:val="0150374F"/>
    <w:rsid w:val="021E3757"/>
    <w:rsid w:val="02AC3F79"/>
    <w:rsid w:val="032F672A"/>
    <w:rsid w:val="03C50E3C"/>
    <w:rsid w:val="03C926DB"/>
    <w:rsid w:val="04030341"/>
    <w:rsid w:val="066A1827"/>
    <w:rsid w:val="06F35367"/>
    <w:rsid w:val="073C7668"/>
    <w:rsid w:val="091F34DF"/>
    <w:rsid w:val="09485258"/>
    <w:rsid w:val="09C609F0"/>
    <w:rsid w:val="0B9C2E79"/>
    <w:rsid w:val="0BF7F892"/>
    <w:rsid w:val="0D542DFF"/>
    <w:rsid w:val="0E2276B0"/>
    <w:rsid w:val="0E820056"/>
    <w:rsid w:val="0F1A64E0"/>
    <w:rsid w:val="10187DA8"/>
    <w:rsid w:val="110732AF"/>
    <w:rsid w:val="117A5014"/>
    <w:rsid w:val="13077380"/>
    <w:rsid w:val="133256D6"/>
    <w:rsid w:val="138076A5"/>
    <w:rsid w:val="152A4942"/>
    <w:rsid w:val="15333EEC"/>
    <w:rsid w:val="15DB5367"/>
    <w:rsid w:val="173E4D36"/>
    <w:rsid w:val="182C4B8E"/>
    <w:rsid w:val="185573FE"/>
    <w:rsid w:val="18E70105"/>
    <w:rsid w:val="18EA6F23"/>
    <w:rsid w:val="1AD25EC1"/>
    <w:rsid w:val="1AF2388B"/>
    <w:rsid w:val="1CEE33E4"/>
    <w:rsid w:val="1DAD6750"/>
    <w:rsid w:val="1DB766A2"/>
    <w:rsid w:val="1DEEAA01"/>
    <w:rsid w:val="1E7EA155"/>
    <w:rsid w:val="1F106BBF"/>
    <w:rsid w:val="1F136A1D"/>
    <w:rsid w:val="1F7F0501"/>
    <w:rsid w:val="1FFDD28A"/>
    <w:rsid w:val="219D2BA4"/>
    <w:rsid w:val="21BC6F83"/>
    <w:rsid w:val="222A0391"/>
    <w:rsid w:val="225E44DE"/>
    <w:rsid w:val="23337D56"/>
    <w:rsid w:val="23C879E8"/>
    <w:rsid w:val="23FD007B"/>
    <w:rsid w:val="244035FB"/>
    <w:rsid w:val="24E36DCF"/>
    <w:rsid w:val="255A466A"/>
    <w:rsid w:val="25B79CBC"/>
    <w:rsid w:val="26980D84"/>
    <w:rsid w:val="26E04DB0"/>
    <w:rsid w:val="27A43AC2"/>
    <w:rsid w:val="292F0B1B"/>
    <w:rsid w:val="29F554B9"/>
    <w:rsid w:val="2A9F8D3C"/>
    <w:rsid w:val="2ABA5B52"/>
    <w:rsid w:val="2B4B5275"/>
    <w:rsid w:val="2B5F490E"/>
    <w:rsid w:val="2BA07916"/>
    <w:rsid w:val="2D157E8F"/>
    <w:rsid w:val="2E2C3BF6"/>
    <w:rsid w:val="2EDF097B"/>
    <w:rsid w:val="2EF32554"/>
    <w:rsid w:val="2F2D4438"/>
    <w:rsid w:val="2FBE4D67"/>
    <w:rsid w:val="2FC150AA"/>
    <w:rsid w:val="2FFCCDC7"/>
    <w:rsid w:val="31DF4520"/>
    <w:rsid w:val="32821B23"/>
    <w:rsid w:val="332933D4"/>
    <w:rsid w:val="336F2407"/>
    <w:rsid w:val="33AF5A2C"/>
    <w:rsid w:val="33F56325"/>
    <w:rsid w:val="34126ED7"/>
    <w:rsid w:val="35B46AFC"/>
    <w:rsid w:val="36221F90"/>
    <w:rsid w:val="36A4650C"/>
    <w:rsid w:val="380A6843"/>
    <w:rsid w:val="38934A8A"/>
    <w:rsid w:val="396EEC6F"/>
    <w:rsid w:val="39B44AC0"/>
    <w:rsid w:val="39DD673D"/>
    <w:rsid w:val="3A575643"/>
    <w:rsid w:val="3AEF6248"/>
    <w:rsid w:val="3B293484"/>
    <w:rsid w:val="3BBF844F"/>
    <w:rsid w:val="3BCFB16A"/>
    <w:rsid w:val="3BEA2C18"/>
    <w:rsid w:val="3BFD8870"/>
    <w:rsid w:val="3C8D359E"/>
    <w:rsid w:val="3CCF20E4"/>
    <w:rsid w:val="3CD411CD"/>
    <w:rsid w:val="3DAA76A4"/>
    <w:rsid w:val="3DD6583E"/>
    <w:rsid w:val="3DEFF98B"/>
    <w:rsid w:val="3EEFA563"/>
    <w:rsid w:val="3F777728"/>
    <w:rsid w:val="3F7FBD41"/>
    <w:rsid w:val="3F7FEE77"/>
    <w:rsid w:val="3FB47094"/>
    <w:rsid w:val="3FB5CED8"/>
    <w:rsid w:val="3FDCEA7A"/>
    <w:rsid w:val="3FDF29FE"/>
    <w:rsid w:val="3FDF2DA0"/>
    <w:rsid w:val="403A2982"/>
    <w:rsid w:val="41730194"/>
    <w:rsid w:val="42A17DA3"/>
    <w:rsid w:val="42F2609B"/>
    <w:rsid w:val="43E612D9"/>
    <w:rsid w:val="44EF6FF4"/>
    <w:rsid w:val="47D26C51"/>
    <w:rsid w:val="48BE6FC1"/>
    <w:rsid w:val="492B21F1"/>
    <w:rsid w:val="49D62A28"/>
    <w:rsid w:val="4B923A2A"/>
    <w:rsid w:val="4C066499"/>
    <w:rsid w:val="4D133390"/>
    <w:rsid w:val="4E5B174E"/>
    <w:rsid w:val="4EFED093"/>
    <w:rsid w:val="4F132029"/>
    <w:rsid w:val="4FF508FB"/>
    <w:rsid w:val="50D36F6B"/>
    <w:rsid w:val="5109514D"/>
    <w:rsid w:val="51530CC8"/>
    <w:rsid w:val="51F764B7"/>
    <w:rsid w:val="51FC3FF4"/>
    <w:rsid w:val="51FFEA86"/>
    <w:rsid w:val="52F86A2D"/>
    <w:rsid w:val="531EBCED"/>
    <w:rsid w:val="539507B4"/>
    <w:rsid w:val="53BBD02B"/>
    <w:rsid w:val="53DCE425"/>
    <w:rsid w:val="55F0720D"/>
    <w:rsid w:val="566762A9"/>
    <w:rsid w:val="5675517D"/>
    <w:rsid w:val="58F2184F"/>
    <w:rsid w:val="59382542"/>
    <w:rsid w:val="59534A02"/>
    <w:rsid w:val="59DC1686"/>
    <w:rsid w:val="5A3607B5"/>
    <w:rsid w:val="5A7F4DF7"/>
    <w:rsid w:val="5AB54555"/>
    <w:rsid w:val="5ADFB0D8"/>
    <w:rsid w:val="5AFCDA09"/>
    <w:rsid w:val="5B6F24B6"/>
    <w:rsid w:val="5BD71A9E"/>
    <w:rsid w:val="5C732359"/>
    <w:rsid w:val="5C924690"/>
    <w:rsid w:val="5D560436"/>
    <w:rsid w:val="5D804323"/>
    <w:rsid w:val="5DCD15AF"/>
    <w:rsid w:val="5E70072E"/>
    <w:rsid w:val="5EEC7A8E"/>
    <w:rsid w:val="5EFF42EE"/>
    <w:rsid w:val="5EFF4B99"/>
    <w:rsid w:val="5EFF5617"/>
    <w:rsid w:val="5F3F8A4D"/>
    <w:rsid w:val="5FFD60A0"/>
    <w:rsid w:val="5FFFFD20"/>
    <w:rsid w:val="60B34B0F"/>
    <w:rsid w:val="61D8572B"/>
    <w:rsid w:val="62921635"/>
    <w:rsid w:val="63304B00"/>
    <w:rsid w:val="63ED4DFA"/>
    <w:rsid w:val="64310F29"/>
    <w:rsid w:val="6468651B"/>
    <w:rsid w:val="64B058C7"/>
    <w:rsid w:val="65314B5F"/>
    <w:rsid w:val="65F7989C"/>
    <w:rsid w:val="65FADB4C"/>
    <w:rsid w:val="65FB2CD0"/>
    <w:rsid w:val="66773286"/>
    <w:rsid w:val="67E40410"/>
    <w:rsid w:val="67F15884"/>
    <w:rsid w:val="68595D1F"/>
    <w:rsid w:val="6AFD4ECA"/>
    <w:rsid w:val="6B653166"/>
    <w:rsid w:val="6BA209C7"/>
    <w:rsid w:val="6BF7B468"/>
    <w:rsid w:val="6BFBD4E9"/>
    <w:rsid w:val="6CCF6A84"/>
    <w:rsid w:val="6D196605"/>
    <w:rsid w:val="6DDD7BE1"/>
    <w:rsid w:val="6DEF7365"/>
    <w:rsid w:val="6E934195"/>
    <w:rsid w:val="6EA1D7C9"/>
    <w:rsid w:val="6F7A3024"/>
    <w:rsid w:val="6F9DA18B"/>
    <w:rsid w:val="6FE6FFA6"/>
    <w:rsid w:val="6FE76DBE"/>
    <w:rsid w:val="70DA254F"/>
    <w:rsid w:val="7149551F"/>
    <w:rsid w:val="71D02ED4"/>
    <w:rsid w:val="71F865E1"/>
    <w:rsid w:val="73436335"/>
    <w:rsid w:val="73C10D0D"/>
    <w:rsid w:val="7554158E"/>
    <w:rsid w:val="75DE28D3"/>
    <w:rsid w:val="75F74211"/>
    <w:rsid w:val="75FEE78E"/>
    <w:rsid w:val="7727FE0E"/>
    <w:rsid w:val="773B054F"/>
    <w:rsid w:val="7777334A"/>
    <w:rsid w:val="777F02F5"/>
    <w:rsid w:val="77DBE002"/>
    <w:rsid w:val="77EF3304"/>
    <w:rsid w:val="77F1EF1C"/>
    <w:rsid w:val="77FB7B99"/>
    <w:rsid w:val="783432E8"/>
    <w:rsid w:val="78506BF6"/>
    <w:rsid w:val="7874534E"/>
    <w:rsid w:val="78CEEF41"/>
    <w:rsid w:val="794F93D4"/>
    <w:rsid w:val="79AE4C9F"/>
    <w:rsid w:val="79DF283F"/>
    <w:rsid w:val="79E31847"/>
    <w:rsid w:val="7A6D480D"/>
    <w:rsid w:val="7A766184"/>
    <w:rsid w:val="7AFC9931"/>
    <w:rsid w:val="7AFD4475"/>
    <w:rsid w:val="7AFF5A2E"/>
    <w:rsid w:val="7B7F9FC3"/>
    <w:rsid w:val="7B867C36"/>
    <w:rsid w:val="7B8E10F9"/>
    <w:rsid w:val="7BB44AFB"/>
    <w:rsid w:val="7BB7DB0F"/>
    <w:rsid w:val="7BDF389D"/>
    <w:rsid w:val="7BE645E2"/>
    <w:rsid w:val="7BFD22C3"/>
    <w:rsid w:val="7BFE244C"/>
    <w:rsid w:val="7BFEE448"/>
    <w:rsid w:val="7CFEC02C"/>
    <w:rsid w:val="7D082506"/>
    <w:rsid w:val="7D3EC887"/>
    <w:rsid w:val="7D410145"/>
    <w:rsid w:val="7D5E2352"/>
    <w:rsid w:val="7D66D01E"/>
    <w:rsid w:val="7D6F224C"/>
    <w:rsid w:val="7D7D46C5"/>
    <w:rsid w:val="7DE82A78"/>
    <w:rsid w:val="7DF73521"/>
    <w:rsid w:val="7DFEF520"/>
    <w:rsid w:val="7E3D480E"/>
    <w:rsid w:val="7E915EB0"/>
    <w:rsid w:val="7EFB7435"/>
    <w:rsid w:val="7F3F2227"/>
    <w:rsid w:val="7F4F278F"/>
    <w:rsid w:val="7F67A286"/>
    <w:rsid w:val="7F77195B"/>
    <w:rsid w:val="7F795182"/>
    <w:rsid w:val="7F7FDCEC"/>
    <w:rsid w:val="7F9EC466"/>
    <w:rsid w:val="7FD3F762"/>
    <w:rsid w:val="7FD724F2"/>
    <w:rsid w:val="7FEF44E4"/>
    <w:rsid w:val="7FF7A0C0"/>
    <w:rsid w:val="7FF99C26"/>
    <w:rsid w:val="7FFB196F"/>
    <w:rsid w:val="7FFB2750"/>
    <w:rsid w:val="87AFBD5B"/>
    <w:rsid w:val="8E890029"/>
    <w:rsid w:val="8FA66646"/>
    <w:rsid w:val="989FAA66"/>
    <w:rsid w:val="9AB5FA21"/>
    <w:rsid w:val="A4D4DB89"/>
    <w:rsid w:val="A95653BA"/>
    <w:rsid w:val="AA6F8A63"/>
    <w:rsid w:val="AEBFD30A"/>
    <w:rsid w:val="AFBEB896"/>
    <w:rsid w:val="B2FF62B4"/>
    <w:rsid w:val="B6F5CAC2"/>
    <w:rsid w:val="B7D29BA0"/>
    <w:rsid w:val="B95D1F38"/>
    <w:rsid w:val="BA4AA729"/>
    <w:rsid w:val="BB2FDD95"/>
    <w:rsid w:val="BBF61F70"/>
    <w:rsid w:val="BD760B9D"/>
    <w:rsid w:val="BEE93BF5"/>
    <w:rsid w:val="BEEB3DF8"/>
    <w:rsid w:val="BEF77FEA"/>
    <w:rsid w:val="BF37E101"/>
    <w:rsid w:val="BF8FB901"/>
    <w:rsid w:val="BF9F2D69"/>
    <w:rsid w:val="BFA30EB9"/>
    <w:rsid w:val="BFA3D089"/>
    <w:rsid w:val="BFBF1639"/>
    <w:rsid w:val="BFFFD38A"/>
    <w:rsid w:val="C3E9C79D"/>
    <w:rsid w:val="C79FB9FE"/>
    <w:rsid w:val="C7DB9E17"/>
    <w:rsid w:val="C7DEFA1E"/>
    <w:rsid w:val="CBBF4BD5"/>
    <w:rsid w:val="CE9782B2"/>
    <w:rsid w:val="D3FBEAE3"/>
    <w:rsid w:val="D3FF926A"/>
    <w:rsid w:val="D56859D1"/>
    <w:rsid w:val="D5F74BDB"/>
    <w:rsid w:val="D6F17D0B"/>
    <w:rsid w:val="D96FD088"/>
    <w:rsid w:val="DB3075E0"/>
    <w:rsid w:val="DEE9A16B"/>
    <w:rsid w:val="DF2CC99F"/>
    <w:rsid w:val="DF3F5E12"/>
    <w:rsid w:val="DF7760B5"/>
    <w:rsid w:val="DFDFA3A1"/>
    <w:rsid w:val="DFDFAC5B"/>
    <w:rsid w:val="DFF5375D"/>
    <w:rsid w:val="DFFFC771"/>
    <w:rsid w:val="E39E0719"/>
    <w:rsid w:val="E6F6B822"/>
    <w:rsid w:val="E9FE7C96"/>
    <w:rsid w:val="EA9D9DAC"/>
    <w:rsid w:val="EB0C37FB"/>
    <w:rsid w:val="EE9502D0"/>
    <w:rsid w:val="EE9FA820"/>
    <w:rsid w:val="EF3128A6"/>
    <w:rsid w:val="EFAFBABD"/>
    <w:rsid w:val="EFEB59C6"/>
    <w:rsid w:val="F56F7C6F"/>
    <w:rsid w:val="F5FA657D"/>
    <w:rsid w:val="F5FB35F9"/>
    <w:rsid w:val="F6BDEE09"/>
    <w:rsid w:val="F6BEFF0E"/>
    <w:rsid w:val="F6DFC97E"/>
    <w:rsid w:val="F6E2221D"/>
    <w:rsid w:val="F6ED9CF4"/>
    <w:rsid w:val="F73F55CE"/>
    <w:rsid w:val="F75A869D"/>
    <w:rsid w:val="F7CDC037"/>
    <w:rsid w:val="F7DFA37B"/>
    <w:rsid w:val="F8FFF251"/>
    <w:rsid w:val="F95EC3FD"/>
    <w:rsid w:val="F9D56E5A"/>
    <w:rsid w:val="FA7EFFE4"/>
    <w:rsid w:val="FADFC4D7"/>
    <w:rsid w:val="FAFBEF8D"/>
    <w:rsid w:val="FAFCE801"/>
    <w:rsid w:val="FBAE4226"/>
    <w:rsid w:val="FBFF0313"/>
    <w:rsid w:val="FD299117"/>
    <w:rsid w:val="FE531E5F"/>
    <w:rsid w:val="FE598AA8"/>
    <w:rsid w:val="FE7367C9"/>
    <w:rsid w:val="FE9F55BD"/>
    <w:rsid w:val="FEE56584"/>
    <w:rsid w:val="FEEDB88E"/>
    <w:rsid w:val="FEFD79AD"/>
    <w:rsid w:val="FF2D7B8E"/>
    <w:rsid w:val="FF2EED79"/>
    <w:rsid w:val="FF7AEC6F"/>
    <w:rsid w:val="FF7C5724"/>
    <w:rsid w:val="FF7E9BD5"/>
    <w:rsid w:val="FF7F0D59"/>
    <w:rsid w:val="FF8BA07F"/>
    <w:rsid w:val="FFAE7713"/>
    <w:rsid w:val="FFBF075E"/>
    <w:rsid w:val="FFBF3A53"/>
    <w:rsid w:val="FFBFC8F6"/>
    <w:rsid w:val="FFDE3950"/>
    <w:rsid w:val="FFED0DE4"/>
    <w:rsid w:val="FFED1C5A"/>
    <w:rsid w:val="FFF56BD4"/>
    <w:rsid w:val="FFFFE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firstLine="200" w:firstLineChars="200"/>
    </w:pPr>
    <w:rPr>
      <w:rFonts w:ascii="Calibri" w:hAnsi="Calibri" w:eastAsia="仿宋_GB2312"/>
      <w:sz w:val="32"/>
      <w:szCs w:val="22"/>
    </w:rPr>
  </w:style>
  <w:style w:type="paragraph" w:styleId="4">
    <w:name w:val="annotation text"/>
    <w:basedOn w:val="1"/>
    <w:link w:val="14"/>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4"/>
    <w:next w:val="4"/>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4"/>
    <w:semiHidden/>
    <w:qFormat/>
    <w:uiPriority w:val="99"/>
    <w:rPr>
      <w:kern w:val="2"/>
      <w:sz w:val="21"/>
      <w:szCs w:val="24"/>
    </w:rPr>
  </w:style>
  <w:style w:type="character" w:customStyle="1" w:styleId="15">
    <w:name w:val="批注主题 字符"/>
    <w:basedOn w:val="14"/>
    <w:link w:val="8"/>
    <w:semiHidden/>
    <w:qFormat/>
    <w:uiPriority w:val="99"/>
    <w:rPr>
      <w:b/>
      <w:bCs/>
      <w:kern w:val="2"/>
      <w:sz w:val="21"/>
      <w:szCs w:val="24"/>
    </w:rPr>
  </w:style>
  <w:style w:type="character" w:customStyle="1" w:styleId="16">
    <w:name w:val="font31"/>
    <w:basedOn w:val="10"/>
    <w:qFormat/>
    <w:uiPriority w:val="0"/>
    <w:rPr>
      <w:rFonts w:hint="eastAsia" w:ascii="仿宋_GB2312" w:eastAsia="仿宋_GB2312" w:cs="仿宋_GB2312"/>
      <w:color w:val="0070C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8361</Words>
  <Characters>9077</Characters>
  <Lines>64</Lines>
  <Paragraphs>18</Paragraphs>
  <TotalTime>265</TotalTime>
  <ScaleCrop>false</ScaleCrop>
  <LinksUpToDate>false</LinksUpToDate>
  <CharactersWithSpaces>9091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2022-05-23T13:07:00Z</dcterms:created>
  <dc:creator>工作组</dc:creator>
  <cp:lastModifiedBy>bjzx</cp:lastModifiedBy>
  <cp:lastPrinted>2023-05-29T00:43:00Z</cp:lastPrinted>
  <dcterms:modified xsi:type="dcterms:W3CDTF">2023-08-24T17:21:45Z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47EBB01EE7BDA665797A7464CDA658DF</vt:lpwstr>
  </property>
</Properties>
</file>